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067" w:rsidRDefault="00866067" w:rsidP="00866067">
      <w:r w:rsidRPr="005704EB">
        <w:rPr>
          <w:noProof/>
          <w:sz w:val="16"/>
          <w:szCs w:val="16"/>
          <w:lang w:eastAsia="cy-GB"/>
        </w:rPr>
        <w:drawing>
          <wp:anchor distT="0" distB="0" distL="114300" distR="114300" simplePos="0" relativeHeight="251661312" behindDoc="0" locked="0" layoutInCell="1" allowOverlap="1" wp14:anchorId="1DE5DA92" wp14:editId="15FEC505">
            <wp:simplePos x="0" y="0"/>
            <wp:positionH relativeFrom="column">
              <wp:posOffset>447675</wp:posOffset>
            </wp:positionH>
            <wp:positionV relativeFrom="paragraph">
              <wp:posOffset>228600</wp:posOffset>
            </wp:positionV>
            <wp:extent cx="4949825" cy="1181100"/>
            <wp:effectExtent l="0" t="0" r="3175" b="0"/>
            <wp:wrapSquare wrapText="bothSides"/>
            <wp:docPr id="23" name="Picture 23" descr="Image result for ondo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 result for ondo stat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98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6067" w:rsidRDefault="00866067" w:rsidP="00866067">
      <w:pPr>
        <w:tabs>
          <w:tab w:val="center" w:pos="2929"/>
        </w:tabs>
        <w:jc w:val="center"/>
        <w:rPr>
          <w:rFonts w:ascii="Garamond" w:hAnsi="Garamond" w:cs="Tahoma"/>
          <w:b/>
          <w:color w:val="000000"/>
          <w:sz w:val="80"/>
          <w:szCs w:val="80"/>
        </w:rPr>
      </w:pPr>
    </w:p>
    <w:p w:rsidR="00866067" w:rsidRDefault="00866067" w:rsidP="00866067">
      <w:pPr>
        <w:tabs>
          <w:tab w:val="center" w:pos="2929"/>
        </w:tabs>
        <w:jc w:val="center"/>
        <w:rPr>
          <w:rFonts w:ascii="Garamond" w:hAnsi="Garamond" w:cs="Tahoma"/>
          <w:b/>
          <w:color w:val="000000"/>
          <w:sz w:val="80"/>
          <w:szCs w:val="80"/>
        </w:rPr>
      </w:pPr>
    </w:p>
    <w:p w:rsidR="00866067" w:rsidRPr="00976407" w:rsidRDefault="00866067" w:rsidP="00866067">
      <w:pPr>
        <w:tabs>
          <w:tab w:val="center" w:pos="2929"/>
        </w:tabs>
        <w:jc w:val="center"/>
        <w:rPr>
          <w:rFonts w:ascii="Garamond" w:hAnsi="Garamond" w:cs="Tahoma"/>
          <w:b/>
          <w:sz w:val="80"/>
          <w:szCs w:val="80"/>
        </w:rPr>
      </w:pPr>
      <w:r>
        <w:rPr>
          <w:rFonts w:ascii="Garamond" w:hAnsi="Garamond" w:cs="Tahoma"/>
          <w:b/>
          <w:color w:val="000000"/>
          <w:sz w:val="80"/>
          <w:szCs w:val="80"/>
        </w:rPr>
        <w:t xml:space="preserve">2019 FIRST QUARTER </w:t>
      </w:r>
      <w:r w:rsidRPr="00976407">
        <w:rPr>
          <w:rFonts w:ascii="Garamond" w:hAnsi="Garamond" w:cs="Tahoma"/>
          <w:b/>
          <w:color w:val="000000"/>
          <w:sz w:val="80"/>
          <w:szCs w:val="80"/>
        </w:rPr>
        <w:t>BUDGET APPRAISAL</w:t>
      </w:r>
    </w:p>
    <w:p w:rsidR="00866067" w:rsidRPr="00422BBB" w:rsidRDefault="00866067" w:rsidP="00866067">
      <w:pPr>
        <w:jc w:val="center"/>
        <w:rPr>
          <w:rFonts w:ascii="Garamond" w:hAnsi="Garamond" w:cs="Tahoma"/>
          <w:b/>
          <w:bCs/>
          <w:color w:val="000000"/>
          <w:sz w:val="40"/>
          <w:szCs w:val="40"/>
        </w:rPr>
      </w:pPr>
    </w:p>
    <w:p w:rsidR="00866067" w:rsidRPr="00422BBB" w:rsidRDefault="00866067" w:rsidP="00866067">
      <w:pPr>
        <w:jc w:val="center"/>
        <w:rPr>
          <w:rFonts w:ascii="Garamond" w:hAnsi="Garamond" w:cs="Tahoma"/>
          <w:b/>
          <w:bCs/>
          <w:color w:val="000000"/>
          <w:sz w:val="40"/>
          <w:szCs w:val="40"/>
        </w:rPr>
      </w:pPr>
      <w:r w:rsidRPr="00422BBB">
        <w:rPr>
          <w:rFonts w:ascii="Garamond" w:hAnsi="Garamond" w:cs="Tahoma"/>
          <w:b/>
          <w:bCs/>
          <w:color w:val="000000"/>
          <w:sz w:val="40"/>
          <w:szCs w:val="40"/>
        </w:rPr>
        <w:t>BY</w:t>
      </w:r>
    </w:p>
    <w:p w:rsidR="00866067" w:rsidRDefault="00866067" w:rsidP="00866067">
      <w:pPr>
        <w:jc w:val="center"/>
        <w:rPr>
          <w:rFonts w:ascii="Garamond" w:hAnsi="Garamond" w:cs="Tahoma"/>
          <w:b/>
          <w:bCs/>
          <w:color w:val="000000"/>
          <w:sz w:val="40"/>
          <w:szCs w:val="40"/>
        </w:rPr>
      </w:pPr>
    </w:p>
    <w:p w:rsidR="00866067" w:rsidRPr="00422BBB" w:rsidRDefault="00866067" w:rsidP="00866067">
      <w:pPr>
        <w:jc w:val="center"/>
        <w:rPr>
          <w:rFonts w:ascii="Garamond" w:hAnsi="Garamond" w:cs="Tahoma"/>
          <w:b/>
          <w:bCs/>
          <w:color w:val="000000"/>
          <w:sz w:val="40"/>
          <w:szCs w:val="40"/>
        </w:rPr>
      </w:pPr>
    </w:p>
    <w:p w:rsidR="00866067" w:rsidRPr="00422BBB" w:rsidRDefault="00866067" w:rsidP="00866067">
      <w:pPr>
        <w:jc w:val="center"/>
        <w:rPr>
          <w:rFonts w:ascii="Garamond" w:hAnsi="Garamond" w:cs="Tahoma"/>
          <w:b/>
          <w:bCs/>
          <w:color w:val="000000"/>
          <w:sz w:val="40"/>
          <w:szCs w:val="40"/>
        </w:rPr>
      </w:pPr>
      <w:r w:rsidRPr="00422BBB">
        <w:rPr>
          <w:rFonts w:ascii="Garamond" w:hAnsi="Garamond" w:cs="Tahoma"/>
          <w:b/>
          <w:bCs/>
          <w:color w:val="000000"/>
          <w:sz w:val="40"/>
          <w:szCs w:val="40"/>
        </w:rPr>
        <w:t>MONI</w:t>
      </w:r>
      <w:r>
        <w:rPr>
          <w:rFonts w:ascii="Garamond" w:hAnsi="Garamond" w:cs="Tahoma"/>
          <w:b/>
          <w:bCs/>
          <w:color w:val="000000"/>
          <w:sz w:val="40"/>
          <w:szCs w:val="40"/>
        </w:rPr>
        <w:t>TORING &amp; EVALUATION DEPARTMENT,</w:t>
      </w:r>
    </w:p>
    <w:p w:rsidR="00866067" w:rsidRPr="00422BBB" w:rsidRDefault="00866067" w:rsidP="00866067">
      <w:pPr>
        <w:jc w:val="center"/>
        <w:rPr>
          <w:rFonts w:ascii="Garamond" w:hAnsi="Garamond" w:cs="Tahoma"/>
          <w:b/>
          <w:bCs/>
          <w:color w:val="000000"/>
          <w:sz w:val="40"/>
          <w:szCs w:val="40"/>
        </w:rPr>
      </w:pPr>
    </w:p>
    <w:p w:rsidR="00866067" w:rsidRPr="00422BBB" w:rsidRDefault="00866067" w:rsidP="00866067">
      <w:pPr>
        <w:jc w:val="center"/>
        <w:rPr>
          <w:rFonts w:ascii="Garamond" w:hAnsi="Garamond" w:cs="Tahoma"/>
          <w:b/>
          <w:bCs/>
          <w:color w:val="000000"/>
          <w:sz w:val="40"/>
          <w:szCs w:val="40"/>
        </w:rPr>
      </w:pPr>
      <w:r w:rsidRPr="00422BBB">
        <w:rPr>
          <w:rFonts w:ascii="Garamond" w:hAnsi="Garamond" w:cs="Tahoma"/>
          <w:b/>
          <w:bCs/>
          <w:color w:val="000000"/>
          <w:sz w:val="40"/>
          <w:szCs w:val="40"/>
        </w:rPr>
        <w:t>MINISTRY OF ECONOMIC PLANNING &amp; BUDGET</w:t>
      </w:r>
    </w:p>
    <w:p w:rsidR="00866067" w:rsidRDefault="00866067" w:rsidP="00866067">
      <w:pPr>
        <w:rPr>
          <w:rFonts w:ascii="Garamond" w:hAnsi="Garamond" w:cs="Tahoma"/>
          <w:b/>
          <w:bCs/>
          <w:color w:val="000000"/>
          <w:sz w:val="40"/>
          <w:szCs w:val="40"/>
        </w:rPr>
      </w:pPr>
    </w:p>
    <w:p w:rsidR="00866067" w:rsidRDefault="00866067" w:rsidP="00866067">
      <w:pPr>
        <w:ind w:left="5760" w:firstLine="720"/>
        <w:rPr>
          <w:rFonts w:ascii="Garamond" w:hAnsi="Garamond" w:cs="Tahoma"/>
          <w:b/>
          <w:bCs/>
          <w:color w:val="000000"/>
          <w:sz w:val="40"/>
          <w:szCs w:val="40"/>
        </w:rPr>
      </w:pPr>
      <w:r>
        <w:rPr>
          <w:rFonts w:ascii="Garamond" w:hAnsi="Garamond" w:cs="Tahoma"/>
          <w:b/>
          <w:bCs/>
          <w:color w:val="000000"/>
          <w:sz w:val="40"/>
          <w:szCs w:val="40"/>
        </w:rPr>
        <w:t>April, 2019</w:t>
      </w:r>
    </w:p>
    <w:p w:rsidR="00866067" w:rsidRDefault="00866067" w:rsidP="00866067">
      <w:pPr>
        <w:ind w:left="5760" w:firstLine="720"/>
        <w:rPr>
          <w:rFonts w:ascii="Garamond" w:hAnsi="Garamond" w:cs="Tahoma"/>
          <w:b/>
          <w:bCs/>
          <w:color w:val="000000"/>
          <w:sz w:val="40"/>
          <w:szCs w:val="40"/>
        </w:rPr>
      </w:pPr>
    </w:p>
    <w:p w:rsidR="00866067" w:rsidRPr="00217A20" w:rsidRDefault="00866067" w:rsidP="00866067">
      <w:pPr>
        <w:ind w:left="5760" w:firstLine="720"/>
        <w:rPr>
          <w:rFonts w:ascii="Garamond" w:hAnsi="Garamond" w:cs="Tahoma"/>
          <w:b/>
          <w:bCs/>
          <w:color w:val="000000"/>
          <w:sz w:val="40"/>
          <w:szCs w:val="40"/>
        </w:rPr>
      </w:pPr>
    </w:p>
    <w:p w:rsidR="00866067" w:rsidRDefault="00866067" w:rsidP="00866067">
      <w:pPr>
        <w:pStyle w:val="NoSpacing"/>
        <w:tabs>
          <w:tab w:val="left" w:pos="480"/>
        </w:tabs>
        <w:spacing w:line="480" w:lineRule="auto"/>
        <w:jc w:val="center"/>
        <w:rPr>
          <w:rFonts w:ascii="Tahoma" w:hAnsi="Tahoma" w:cs="Tahoma"/>
          <w:b/>
          <w:sz w:val="28"/>
          <w:szCs w:val="28"/>
        </w:rPr>
      </w:pPr>
      <w:r w:rsidRPr="0043571F">
        <w:rPr>
          <w:rFonts w:ascii="Tahoma" w:hAnsi="Tahoma" w:cs="Tahoma"/>
          <w:b/>
          <w:sz w:val="28"/>
          <w:szCs w:val="28"/>
        </w:rPr>
        <w:lastRenderedPageBreak/>
        <w:t>TABLE OF CONTENTS</w:t>
      </w:r>
    </w:p>
    <w:p w:rsidR="00866067" w:rsidRPr="00096798" w:rsidRDefault="00866067" w:rsidP="00866067">
      <w:pPr>
        <w:pStyle w:val="NoSpacing"/>
        <w:tabs>
          <w:tab w:val="left" w:pos="480"/>
        </w:tabs>
        <w:spacing w:line="480" w:lineRule="auto"/>
        <w:jc w:val="center"/>
        <w:rPr>
          <w:rFonts w:ascii="Tahoma" w:hAnsi="Tahoma" w:cs="Tahoma"/>
          <w:b/>
          <w:sz w:val="28"/>
          <w:szCs w:val="28"/>
        </w:rPr>
      </w:pPr>
    </w:p>
    <w:p w:rsidR="00866067" w:rsidRPr="00B47F88" w:rsidRDefault="00866067" w:rsidP="00866067">
      <w:pPr>
        <w:pStyle w:val="NoSpacing"/>
        <w:tabs>
          <w:tab w:val="left" w:pos="480"/>
        </w:tabs>
        <w:spacing w:line="480" w:lineRule="auto"/>
        <w:rPr>
          <w:rFonts w:ascii="Tahoma" w:hAnsi="Tahoma" w:cs="Tahoma"/>
          <w:sz w:val="28"/>
          <w:szCs w:val="28"/>
        </w:rPr>
      </w:pPr>
      <w:r w:rsidRPr="00B47F88">
        <w:rPr>
          <w:rFonts w:ascii="Tahoma" w:hAnsi="Tahoma" w:cs="Tahoma"/>
          <w:sz w:val="28"/>
          <w:szCs w:val="28"/>
        </w:rPr>
        <w:t>Title Page</w:t>
      </w:r>
      <w:r>
        <w:rPr>
          <w:rFonts w:ascii="Tahoma" w:hAnsi="Tahoma" w:cs="Tahoma"/>
          <w:sz w:val="28"/>
          <w:szCs w:val="28"/>
        </w:rPr>
        <w:t>…………………………….........................................................1</w:t>
      </w:r>
    </w:p>
    <w:p w:rsidR="00866067"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Table of Contents…………………………………………………………………………2</w:t>
      </w:r>
    </w:p>
    <w:p w:rsidR="00866067"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List of Tables……………….………………………………………………………………3</w:t>
      </w:r>
    </w:p>
    <w:p w:rsidR="00866067"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List of Figures………………………………………………………………………………4</w:t>
      </w:r>
    </w:p>
    <w:p w:rsidR="00866067" w:rsidRPr="00B47F88"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Preface………………………………………………………………………..................6</w:t>
      </w:r>
    </w:p>
    <w:p w:rsidR="00866067" w:rsidRDefault="00866067" w:rsidP="00866067">
      <w:pPr>
        <w:pStyle w:val="NoSpacing"/>
        <w:tabs>
          <w:tab w:val="left" w:pos="142"/>
        </w:tabs>
        <w:spacing w:line="480" w:lineRule="auto"/>
        <w:rPr>
          <w:rFonts w:ascii="Tahoma" w:hAnsi="Tahoma" w:cs="Tahoma"/>
          <w:sz w:val="28"/>
          <w:szCs w:val="28"/>
        </w:rPr>
      </w:pPr>
      <w:r>
        <w:rPr>
          <w:rFonts w:ascii="Tahoma" w:hAnsi="Tahoma" w:cs="Tahoma"/>
          <w:sz w:val="28"/>
          <w:szCs w:val="28"/>
        </w:rPr>
        <w:t>Executive Sum</w:t>
      </w:r>
      <w:r w:rsidR="00D403D9">
        <w:rPr>
          <w:rFonts w:ascii="Tahoma" w:hAnsi="Tahoma" w:cs="Tahoma"/>
          <w:sz w:val="28"/>
          <w:szCs w:val="28"/>
        </w:rPr>
        <w:t>mary………………………………………………………………………7</w:t>
      </w:r>
    </w:p>
    <w:p w:rsidR="00866067" w:rsidRDefault="00866067" w:rsidP="00866067">
      <w:pPr>
        <w:pStyle w:val="NoSpacing"/>
        <w:tabs>
          <w:tab w:val="left" w:pos="142"/>
        </w:tabs>
        <w:spacing w:line="480" w:lineRule="auto"/>
        <w:rPr>
          <w:rFonts w:ascii="Tahoma" w:hAnsi="Tahoma" w:cs="Tahoma"/>
          <w:sz w:val="28"/>
          <w:szCs w:val="28"/>
        </w:rPr>
      </w:pPr>
      <w:r>
        <w:rPr>
          <w:rFonts w:ascii="Tahoma" w:hAnsi="Tahoma" w:cs="Tahoma"/>
          <w:sz w:val="28"/>
          <w:szCs w:val="28"/>
        </w:rPr>
        <w:t>Chapter One:</w:t>
      </w:r>
      <w:r>
        <w:rPr>
          <w:rFonts w:ascii="Tahoma" w:hAnsi="Tahoma" w:cs="Tahoma"/>
          <w:sz w:val="28"/>
          <w:szCs w:val="28"/>
        </w:rPr>
        <w:tab/>
        <w:t>Introduction…………………………</w:t>
      </w:r>
      <w:r w:rsidR="00D403D9">
        <w:rPr>
          <w:rFonts w:ascii="Tahoma" w:hAnsi="Tahoma" w:cs="Tahoma"/>
          <w:sz w:val="28"/>
          <w:szCs w:val="28"/>
        </w:rPr>
        <w:t>…………………………….9</w:t>
      </w:r>
    </w:p>
    <w:p w:rsidR="00866067"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Two: </w:t>
      </w:r>
      <w:r>
        <w:rPr>
          <w:rFonts w:ascii="Tahoma" w:hAnsi="Tahoma" w:cs="Tahoma"/>
          <w:sz w:val="28"/>
          <w:szCs w:val="28"/>
        </w:rPr>
        <w:tab/>
        <w:t>Revenue Prof</w:t>
      </w:r>
      <w:r w:rsidR="00D403D9">
        <w:rPr>
          <w:rFonts w:ascii="Tahoma" w:hAnsi="Tahoma" w:cs="Tahoma"/>
          <w:sz w:val="28"/>
          <w:szCs w:val="28"/>
        </w:rPr>
        <w:t>ile and Analysis……………………………...13</w:t>
      </w:r>
    </w:p>
    <w:p w:rsidR="00866067"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Three: </w:t>
      </w:r>
      <w:r>
        <w:rPr>
          <w:rFonts w:ascii="Tahoma" w:hAnsi="Tahoma" w:cs="Tahoma"/>
          <w:sz w:val="28"/>
          <w:szCs w:val="28"/>
        </w:rPr>
        <w:tab/>
        <w:t>Expenditure Pro</w:t>
      </w:r>
      <w:r w:rsidR="00D403D9">
        <w:rPr>
          <w:rFonts w:ascii="Tahoma" w:hAnsi="Tahoma" w:cs="Tahoma"/>
          <w:sz w:val="28"/>
          <w:szCs w:val="28"/>
        </w:rPr>
        <w:t>file and Analysis………………………....21</w:t>
      </w:r>
    </w:p>
    <w:p w:rsidR="00866067" w:rsidRDefault="00DF5366" w:rsidP="00866067">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Four: </w:t>
      </w:r>
      <w:r>
        <w:rPr>
          <w:rFonts w:ascii="Tahoma" w:hAnsi="Tahoma" w:cs="Tahoma"/>
          <w:sz w:val="28"/>
          <w:szCs w:val="28"/>
        </w:rPr>
        <w:tab/>
      </w:r>
      <w:r w:rsidR="003325DA">
        <w:rPr>
          <w:rFonts w:ascii="Tahoma" w:hAnsi="Tahoma" w:cs="Tahoma"/>
          <w:sz w:val="28"/>
          <w:szCs w:val="28"/>
        </w:rPr>
        <w:t>Capital Projects Awarded in 2019</w:t>
      </w:r>
    </w:p>
    <w:p w:rsidR="00866067"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Through Stat</w:t>
      </w:r>
      <w:r w:rsidR="00D403D9">
        <w:rPr>
          <w:rFonts w:ascii="Tahoma" w:hAnsi="Tahoma" w:cs="Tahoma"/>
          <w:sz w:val="28"/>
          <w:szCs w:val="28"/>
        </w:rPr>
        <w:t>e Tenders’ Board………………..…………..42</w:t>
      </w:r>
    </w:p>
    <w:p w:rsidR="00866067"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Five: </w:t>
      </w:r>
      <w:r>
        <w:rPr>
          <w:rFonts w:ascii="Tahoma" w:hAnsi="Tahoma" w:cs="Tahoma"/>
          <w:sz w:val="28"/>
          <w:szCs w:val="28"/>
        </w:rPr>
        <w:tab/>
        <w:t>Observations, Re</w:t>
      </w:r>
      <w:r w:rsidR="00D403D9">
        <w:rPr>
          <w:rFonts w:ascii="Tahoma" w:hAnsi="Tahoma" w:cs="Tahoma"/>
          <w:sz w:val="28"/>
          <w:szCs w:val="28"/>
        </w:rPr>
        <w:t>commendations and Conclusions…46</w:t>
      </w:r>
    </w:p>
    <w:p w:rsidR="00866067" w:rsidRPr="00B47F88" w:rsidRDefault="00866067" w:rsidP="00866067">
      <w:pPr>
        <w:pStyle w:val="NoSpacing"/>
        <w:tabs>
          <w:tab w:val="left" w:pos="480"/>
        </w:tabs>
        <w:spacing w:line="480" w:lineRule="auto"/>
        <w:rPr>
          <w:rFonts w:ascii="Tahoma" w:hAnsi="Tahoma" w:cs="Tahoma"/>
          <w:sz w:val="28"/>
          <w:szCs w:val="28"/>
        </w:rPr>
      </w:pPr>
      <w:r>
        <w:rPr>
          <w:rFonts w:ascii="Tahoma" w:hAnsi="Tahoma" w:cs="Tahoma"/>
          <w:sz w:val="28"/>
          <w:szCs w:val="28"/>
        </w:rPr>
        <w:t>Appendix..……</w:t>
      </w:r>
      <w:r w:rsidR="00D403D9">
        <w:rPr>
          <w:rFonts w:ascii="Tahoma" w:hAnsi="Tahoma" w:cs="Tahoma"/>
          <w:sz w:val="28"/>
          <w:szCs w:val="28"/>
        </w:rPr>
        <w:t>…………………………………………………………………………….49</w:t>
      </w:r>
    </w:p>
    <w:p w:rsidR="00866067" w:rsidRDefault="00866067" w:rsidP="00866067">
      <w:pPr>
        <w:pStyle w:val="NoSpacing"/>
        <w:tabs>
          <w:tab w:val="left" w:pos="480"/>
        </w:tabs>
        <w:spacing w:line="480" w:lineRule="auto"/>
        <w:rPr>
          <w:rFonts w:ascii="Tahoma" w:hAnsi="Tahoma" w:cs="Tahoma"/>
          <w:sz w:val="28"/>
          <w:szCs w:val="28"/>
        </w:rPr>
      </w:pPr>
    </w:p>
    <w:p w:rsidR="00866067" w:rsidRDefault="00866067" w:rsidP="00866067">
      <w:pPr>
        <w:pStyle w:val="NoSpacing"/>
        <w:tabs>
          <w:tab w:val="left" w:pos="480"/>
        </w:tabs>
        <w:spacing w:line="480" w:lineRule="auto"/>
        <w:rPr>
          <w:rFonts w:ascii="Tahoma" w:hAnsi="Tahoma" w:cs="Tahoma"/>
          <w:sz w:val="28"/>
          <w:szCs w:val="28"/>
        </w:rPr>
      </w:pPr>
    </w:p>
    <w:p w:rsidR="00866067" w:rsidRDefault="00866067" w:rsidP="00866067">
      <w:pPr>
        <w:pStyle w:val="NoSpacing"/>
        <w:tabs>
          <w:tab w:val="left" w:pos="480"/>
        </w:tabs>
        <w:spacing w:line="480" w:lineRule="auto"/>
        <w:rPr>
          <w:rFonts w:ascii="Tahoma" w:hAnsi="Tahoma" w:cs="Tahoma"/>
          <w:sz w:val="28"/>
          <w:szCs w:val="28"/>
        </w:rPr>
      </w:pPr>
    </w:p>
    <w:p w:rsidR="00866067" w:rsidRDefault="00866067" w:rsidP="00866067">
      <w:pPr>
        <w:pStyle w:val="NoSpacing"/>
        <w:tabs>
          <w:tab w:val="left" w:pos="480"/>
        </w:tabs>
        <w:spacing w:line="480" w:lineRule="auto"/>
        <w:rPr>
          <w:rFonts w:ascii="Tahoma" w:hAnsi="Tahoma" w:cs="Tahoma"/>
          <w:sz w:val="28"/>
          <w:szCs w:val="28"/>
        </w:rPr>
      </w:pPr>
    </w:p>
    <w:p w:rsidR="00866067" w:rsidRDefault="00866067" w:rsidP="00866067">
      <w:pPr>
        <w:spacing w:line="360" w:lineRule="auto"/>
        <w:rPr>
          <w:rFonts w:ascii="Tahoma" w:hAnsi="Tahoma" w:cs="Tahoma"/>
          <w:b/>
          <w:sz w:val="28"/>
          <w:szCs w:val="28"/>
        </w:rPr>
      </w:pPr>
    </w:p>
    <w:p w:rsidR="00866067" w:rsidRDefault="00866067" w:rsidP="00866067">
      <w:pPr>
        <w:spacing w:line="360" w:lineRule="auto"/>
        <w:rPr>
          <w:rFonts w:ascii="Tahoma" w:hAnsi="Tahoma" w:cs="Tahoma"/>
          <w:b/>
          <w:sz w:val="28"/>
          <w:szCs w:val="28"/>
        </w:rPr>
      </w:pPr>
    </w:p>
    <w:p w:rsidR="00866067" w:rsidRDefault="00866067" w:rsidP="00866067">
      <w:pPr>
        <w:spacing w:line="360" w:lineRule="auto"/>
        <w:jc w:val="center"/>
        <w:rPr>
          <w:rFonts w:ascii="Tahoma" w:hAnsi="Tahoma" w:cs="Tahoma"/>
          <w:b/>
          <w:sz w:val="28"/>
          <w:szCs w:val="28"/>
        </w:rPr>
      </w:pPr>
      <w:r>
        <w:rPr>
          <w:rFonts w:ascii="Tahoma" w:hAnsi="Tahoma" w:cs="Tahoma"/>
          <w:b/>
          <w:sz w:val="28"/>
          <w:szCs w:val="28"/>
        </w:rPr>
        <w:lastRenderedPageBreak/>
        <w:t>LIST OF TABLES</w:t>
      </w:r>
    </w:p>
    <w:p w:rsidR="00866067" w:rsidRDefault="00866067" w:rsidP="00866067">
      <w:pPr>
        <w:spacing w:line="240" w:lineRule="auto"/>
        <w:rPr>
          <w:rFonts w:ascii="Tahoma" w:hAnsi="Tahoma" w:cs="Tahoma"/>
          <w:sz w:val="28"/>
          <w:szCs w:val="28"/>
        </w:rPr>
      </w:pPr>
      <w:r>
        <w:rPr>
          <w:rFonts w:ascii="Tahoma" w:hAnsi="Tahoma" w:cs="Tahoma"/>
          <w:sz w:val="28"/>
          <w:szCs w:val="28"/>
        </w:rPr>
        <w:t>Table 2.1: 2019 First Quarter Revenue................</w:t>
      </w:r>
      <w:r w:rsidR="00D403D9">
        <w:rPr>
          <w:rFonts w:ascii="Tahoma" w:hAnsi="Tahoma" w:cs="Tahoma"/>
          <w:sz w:val="28"/>
          <w:szCs w:val="28"/>
        </w:rPr>
        <w:t>..............................13</w:t>
      </w:r>
    </w:p>
    <w:p w:rsidR="00866067" w:rsidRPr="0043571F" w:rsidRDefault="00866067" w:rsidP="00866067">
      <w:pPr>
        <w:spacing w:line="240" w:lineRule="auto"/>
        <w:rPr>
          <w:rFonts w:ascii="Tahoma" w:hAnsi="Tahoma" w:cs="Tahoma"/>
          <w:sz w:val="28"/>
          <w:szCs w:val="28"/>
        </w:rPr>
      </w:pPr>
      <w:r>
        <w:rPr>
          <w:rFonts w:ascii="Tahoma" w:hAnsi="Tahoma" w:cs="Tahoma"/>
          <w:sz w:val="28"/>
          <w:szCs w:val="28"/>
        </w:rPr>
        <w:t xml:space="preserve">Table 2.2: </w:t>
      </w:r>
      <w:r w:rsidRPr="00322ADD">
        <w:rPr>
          <w:rFonts w:ascii="Tahoma" w:hAnsi="Tahoma" w:cs="Tahoma"/>
          <w:sz w:val="28"/>
          <w:szCs w:val="28"/>
          <w:lang w:val="en-CA"/>
        </w:rPr>
        <w:t>Comparison of 2018 &amp; 2019 First Quarter Performance</w:t>
      </w:r>
      <w:r>
        <w:rPr>
          <w:rFonts w:ascii="Tahoma" w:hAnsi="Tahoma" w:cs="Tahoma"/>
          <w:sz w:val="28"/>
          <w:szCs w:val="28"/>
        </w:rPr>
        <w:t>.......17</w:t>
      </w:r>
    </w:p>
    <w:p w:rsidR="00866067" w:rsidRDefault="00866067" w:rsidP="00866067">
      <w:pPr>
        <w:spacing w:line="360" w:lineRule="auto"/>
        <w:rPr>
          <w:rFonts w:ascii="Tahoma" w:hAnsi="Tahoma" w:cs="Tahoma"/>
          <w:sz w:val="28"/>
          <w:szCs w:val="28"/>
        </w:rPr>
      </w:pPr>
      <w:r>
        <w:rPr>
          <w:rFonts w:ascii="Tahoma" w:hAnsi="Tahoma" w:cs="Tahoma"/>
          <w:sz w:val="28"/>
          <w:szCs w:val="28"/>
        </w:rPr>
        <w:t>Table 3.1: Summary of 2019</w:t>
      </w:r>
      <w:r w:rsidRPr="00322ADD">
        <w:rPr>
          <w:rFonts w:ascii="Tahoma" w:hAnsi="Tahoma" w:cs="Tahoma"/>
          <w:sz w:val="28"/>
          <w:szCs w:val="28"/>
        </w:rPr>
        <w:t xml:space="preserve"> First Quarter Expenditures</w:t>
      </w:r>
      <w:r w:rsidR="00D403D9">
        <w:rPr>
          <w:rFonts w:ascii="Tahoma" w:hAnsi="Tahoma" w:cs="Tahoma"/>
          <w:sz w:val="28"/>
          <w:szCs w:val="28"/>
        </w:rPr>
        <w:t>.......….………...21</w:t>
      </w:r>
    </w:p>
    <w:p w:rsidR="00866067" w:rsidRDefault="00866067" w:rsidP="00866067">
      <w:pPr>
        <w:spacing w:line="360" w:lineRule="auto"/>
        <w:rPr>
          <w:rFonts w:ascii="Tahoma" w:hAnsi="Tahoma" w:cs="Tahoma"/>
          <w:sz w:val="28"/>
          <w:szCs w:val="28"/>
        </w:rPr>
      </w:pPr>
      <w:r>
        <w:rPr>
          <w:rFonts w:ascii="Tahoma" w:hAnsi="Tahoma" w:cs="Tahoma"/>
          <w:sz w:val="28"/>
          <w:szCs w:val="28"/>
        </w:rPr>
        <w:t xml:space="preserve">Table 3.2: </w:t>
      </w:r>
      <w:r w:rsidRPr="00322ADD">
        <w:rPr>
          <w:rFonts w:ascii="Tahoma" w:hAnsi="Tahoma" w:cs="Tahoma"/>
          <w:sz w:val="28"/>
          <w:szCs w:val="28"/>
        </w:rPr>
        <w:t xml:space="preserve">Details of First Quarter </w:t>
      </w:r>
      <w:r>
        <w:rPr>
          <w:rFonts w:ascii="Tahoma" w:hAnsi="Tahoma" w:cs="Tahoma"/>
          <w:sz w:val="28"/>
          <w:szCs w:val="28"/>
        </w:rPr>
        <w:t>Rec</w:t>
      </w:r>
      <w:r w:rsidR="00D403D9">
        <w:rPr>
          <w:rFonts w:ascii="Tahoma" w:hAnsi="Tahoma" w:cs="Tahoma"/>
          <w:sz w:val="28"/>
          <w:szCs w:val="28"/>
        </w:rPr>
        <w:t>urrent Expenditure Component..26</w:t>
      </w:r>
    </w:p>
    <w:p w:rsidR="00866067" w:rsidRPr="002A307A" w:rsidRDefault="00866067" w:rsidP="00866067">
      <w:pPr>
        <w:pStyle w:val="NoSpacing"/>
        <w:spacing w:line="480" w:lineRule="auto"/>
        <w:rPr>
          <w:rFonts w:ascii="Tahoma" w:hAnsi="Tahoma" w:cs="Tahoma"/>
          <w:b/>
          <w:sz w:val="28"/>
          <w:szCs w:val="28"/>
        </w:rPr>
      </w:pPr>
      <w:r>
        <w:rPr>
          <w:rFonts w:ascii="Tahoma" w:hAnsi="Tahoma" w:cs="Tahoma"/>
          <w:sz w:val="28"/>
          <w:szCs w:val="28"/>
        </w:rPr>
        <w:t xml:space="preserve">Table 3.3: </w:t>
      </w:r>
      <w:r w:rsidRPr="00322ADD">
        <w:rPr>
          <w:rFonts w:ascii="Tahoma" w:hAnsi="Tahoma" w:cs="Tahoma"/>
          <w:sz w:val="28"/>
          <w:szCs w:val="28"/>
        </w:rPr>
        <w:t>Details of First Quarter Personnel Cost</w:t>
      </w:r>
      <w:r w:rsidR="00D403D9">
        <w:rPr>
          <w:rFonts w:ascii="Tahoma" w:hAnsi="Tahoma" w:cs="Tahoma"/>
          <w:sz w:val="28"/>
          <w:szCs w:val="28"/>
        </w:rPr>
        <w:t>…………………………….30</w:t>
      </w:r>
    </w:p>
    <w:p w:rsidR="00866067" w:rsidRPr="00730774" w:rsidRDefault="00866067" w:rsidP="00866067">
      <w:pPr>
        <w:pStyle w:val="NoSpacing"/>
        <w:spacing w:line="360" w:lineRule="auto"/>
        <w:ind w:left="1418" w:hanging="1418"/>
        <w:rPr>
          <w:rFonts w:ascii="Tahoma" w:hAnsi="Tahoma" w:cs="Tahoma"/>
          <w:sz w:val="24"/>
          <w:szCs w:val="24"/>
        </w:rPr>
      </w:pPr>
      <w:r>
        <w:rPr>
          <w:rFonts w:ascii="Tahoma" w:hAnsi="Tahoma" w:cs="Tahoma"/>
          <w:sz w:val="28"/>
          <w:szCs w:val="28"/>
        </w:rPr>
        <w:t>Table 3.4:</w:t>
      </w:r>
      <w:r w:rsidRPr="00730774">
        <w:rPr>
          <w:rFonts w:ascii="Tahoma" w:hAnsi="Tahoma" w:cs="Tahoma"/>
          <w:sz w:val="28"/>
          <w:szCs w:val="28"/>
        </w:rPr>
        <w:t xml:space="preserve"> </w:t>
      </w:r>
      <w:r w:rsidRPr="00730774">
        <w:rPr>
          <w:rFonts w:ascii="Tahoma" w:hAnsi="Tahoma" w:cs="Tahoma"/>
          <w:sz w:val="28"/>
          <w:szCs w:val="24"/>
        </w:rPr>
        <w:t>Summary of First Quarter Subvention/</w:t>
      </w:r>
      <w:r w:rsidRPr="00730774">
        <w:rPr>
          <w:rFonts w:ascii="Tahoma" w:hAnsi="Tahoma" w:cs="Tahoma"/>
          <w:sz w:val="28"/>
          <w:szCs w:val="28"/>
        </w:rPr>
        <w:t>Grants to Parastatals</w:t>
      </w:r>
      <w:r w:rsidR="00D403D9">
        <w:rPr>
          <w:rFonts w:ascii="Tahoma" w:hAnsi="Tahoma" w:cs="Tahoma"/>
          <w:sz w:val="28"/>
          <w:szCs w:val="28"/>
        </w:rPr>
        <w:t>…………………………………………………………………..33</w:t>
      </w:r>
    </w:p>
    <w:p w:rsidR="00866067" w:rsidRPr="00730774" w:rsidRDefault="00866067" w:rsidP="00866067">
      <w:pPr>
        <w:pStyle w:val="NoSpacing"/>
        <w:spacing w:line="360" w:lineRule="auto"/>
        <w:ind w:left="1418" w:hanging="1418"/>
        <w:rPr>
          <w:rFonts w:ascii="Tahoma" w:hAnsi="Tahoma" w:cs="Tahoma"/>
          <w:sz w:val="24"/>
          <w:szCs w:val="24"/>
        </w:rPr>
      </w:pPr>
      <w:r>
        <w:rPr>
          <w:rFonts w:ascii="Tahoma" w:hAnsi="Tahoma" w:cs="Tahoma"/>
          <w:sz w:val="28"/>
          <w:szCs w:val="28"/>
        </w:rPr>
        <w:t>Table 3.5:</w:t>
      </w:r>
      <w:r w:rsidRPr="00730774">
        <w:rPr>
          <w:rFonts w:ascii="Tahoma" w:hAnsi="Tahoma" w:cs="Tahoma"/>
          <w:sz w:val="28"/>
          <w:szCs w:val="28"/>
        </w:rPr>
        <w:t xml:space="preserve"> </w:t>
      </w:r>
      <w:r w:rsidRPr="00730774">
        <w:rPr>
          <w:rFonts w:ascii="Tahoma" w:hAnsi="Tahoma" w:cs="Tahoma"/>
          <w:sz w:val="28"/>
          <w:szCs w:val="24"/>
        </w:rPr>
        <w:t>Details of First Quarter Consolidated Revenue Fund Charges (CRFC)</w:t>
      </w:r>
      <w:r>
        <w:rPr>
          <w:rFonts w:ascii="Tahoma" w:hAnsi="Tahoma" w:cs="Tahoma"/>
          <w:sz w:val="28"/>
          <w:szCs w:val="24"/>
        </w:rPr>
        <w:t>………………………………………………………………………</w:t>
      </w:r>
      <w:r w:rsidR="006868F3">
        <w:rPr>
          <w:rFonts w:ascii="Tahoma" w:hAnsi="Tahoma" w:cs="Tahoma"/>
          <w:sz w:val="28"/>
          <w:szCs w:val="28"/>
        </w:rPr>
        <w:t>..35</w:t>
      </w:r>
    </w:p>
    <w:p w:rsidR="00866067" w:rsidRDefault="00866067" w:rsidP="00866067">
      <w:pPr>
        <w:pStyle w:val="NoSpacing"/>
        <w:spacing w:line="360" w:lineRule="auto"/>
        <w:rPr>
          <w:rFonts w:ascii="Tahoma" w:hAnsi="Tahoma" w:cs="Tahoma"/>
          <w:sz w:val="28"/>
          <w:szCs w:val="24"/>
        </w:rPr>
      </w:pPr>
      <w:r>
        <w:rPr>
          <w:rFonts w:ascii="Tahoma" w:hAnsi="Tahoma" w:cs="Tahoma"/>
          <w:sz w:val="28"/>
          <w:szCs w:val="28"/>
        </w:rPr>
        <w:t xml:space="preserve">Table 3.6: </w:t>
      </w:r>
      <w:r w:rsidRPr="00730774">
        <w:rPr>
          <w:rFonts w:ascii="Tahoma" w:hAnsi="Tahoma" w:cs="Tahoma"/>
          <w:sz w:val="28"/>
          <w:szCs w:val="28"/>
        </w:rPr>
        <w:t>First Quarter Sectoral Recurrent Expenditure</w:t>
      </w:r>
      <w:r w:rsidR="006868F3">
        <w:rPr>
          <w:rFonts w:ascii="Tahoma" w:hAnsi="Tahoma" w:cs="Tahoma"/>
          <w:sz w:val="28"/>
          <w:szCs w:val="24"/>
        </w:rPr>
        <w:t>……………………37</w:t>
      </w:r>
    </w:p>
    <w:p w:rsidR="00866067" w:rsidRDefault="00866067" w:rsidP="00866067">
      <w:pPr>
        <w:spacing w:line="360" w:lineRule="auto"/>
        <w:rPr>
          <w:rFonts w:ascii="Tahoma" w:hAnsi="Tahoma" w:cs="Tahoma"/>
          <w:sz w:val="28"/>
          <w:szCs w:val="28"/>
        </w:rPr>
      </w:pPr>
      <w:r>
        <w:rPr>
          <w:rFonts w:ascii="Tahoma" w:hAnsi="Tahoma" w:cs="Tahoma"/>
          <w:sz w:val="28"/>
          <w:szCs w:val="28"/>
        </w:rPr>
        <w:t xml:space="preserve">Table 3.7: </w:t>
      </w:r>
      <w:r w:rsidRPr="005B37DF">
        <w:rPr>
          <w:rFonts w:ascii="Tahoma" w:hAnsi="Tahoma" w:cs="Tahoma"/>
          <w:sz w:val="28"/>
          <w:szCs w:val="24"/>
        </w:rPr>
        <w:t>Details of First Quarter Statutory Transfers</w:t>
      </w:r>
      <w:r w:rsidR="006868F3">
        <w:rPr>
          <w:rFonts w:ascii="Tahoma" w:hAnsi="Tahoma" w:cs="Tahoma"/>
          <w:sz w:val="28"/>
          <w:szCs w:val="28"/>
        </w:rPr>
        <w:t>........................39</w:t>
      </w:r>
    </w:p>
    <w:p w:rsidR="00866067" w:rsidRDefault="00866067" w:rsidP="00866067">
      <w:pPr>
        <w:pStyle w:val="NoSpacing"/>
        <w:tabs>
          <w:tab w:val="left" w:pos="3119"/>
        </w:tabs>
        <w:spacing w:line="360" w:lineRule="auto"/>
        <w:jc w:val="both"/>
        <w:rPr>
          <w:rFonts w:ascii="Tahoma" w:hAnsi="Tahoma" w:cs="Tahoma"/>
          <w:sz w:val="28"/>
          <w:szCs w:val="24"/>
        </w:rPr>
      </w:pPr>
      <w:r>
        <w:rPr>
          <w:rFonts w:ascii="Tahoma" w:hAnsi="Tahoma" w:cs="Tahoma"/>
          <w:sz w:val="28"/>
          <w:szCs w:val="24"/>
        </w:rPr>
        <w:t xml:space="preserve">Table 3.8: </w:t>
      </w:r>
      <w:r w:rsidRPr="005B37DF">
        <w:rPr>
          <w:rFonts w:ascii="Tahoma" w:hAnsi="Tahoma" w:cs="Tahoma"/>
          <w:sz w:val="28"/>
          <w:szCs w:val="28"/>
        </w:rPr>
        <w:t>First Quarter Sectoral Capital Expenditure Details</w:t>
      </w:r>
      <w:r w:rsidRPr="005B37DF">
        <w:rPr>
          <w:rFonts w:ascii="Tahoma" w:hAnsi="Tahoma" w:cs="Tahoma"/>
          <w:sz w:val="28"/>
          <w:szCs w:val="24"/>
        </w:rPr>
        <w:t xml:space="preserve"> </w:t>
      </w:r>
      <w:r w:rsidR="006868F3">
        <w:rPr>
          <w:rFonts w:ascii="Tahoma" w:hAnsi="Tahoma" w:cs="Tahoma"/>
          <w:sz w:val="28"/>
          <w:szCs w:val="24"/>
        </w:rPr>
        <w:t>……………40</w:t>
      </w:r>
    </w:p>
    <w:p w:rsidR="00866067" w:rsidRPr="00975BC0" w:rsidRDefault="00866067" w:rsidP="00866067">
      <w:pPr>
        <w:pStyle w:val="NoSpacing"/>
        <w:spacing w:line="360" w:lineRule="auto"/>
        <w:jc w:val="both"/>
        <w:rPr>
          <w:rFonts w:ascii="Tahoma" w:eastAsia="Tahoma" w:hAnsi="Tahoma" w:cs="Tahoma"/>
          <w:color w:val="000000"/>
          <w:sz w:val="28"/>
          <w:szCs w:val="28"/>
        </w:rPr>
      </w:pPr>
      <w:r w:rsidRPr="006E5263">
        <w:rPr>
          <w:rFonts w:ascii="Tahoma" w:eastAsia="Tahoma" w:hAnsi="Tahoma" w:cs="Tahoma"/>
          <w:color w:val="000000"/>
          <w:sz w:val="28"/>
          <w:szCs w:val="28"/>
        </w:rPr>
        <w:t>Tabl</w:t>
      </w:r>
      <w:r>
        <w:rPr>
          <w:rFonts w:ascii="Tahoma" w:eastAsia="Tahoma" w:hAnsi="Tahoma" w:cs="Tahoma"/>
          <w:color w:val="000000"/>
          <w:sz w:val="28"/>
          <w:szCs w:val="28"/>
        </w:rPr>
        <w:t xml:space="preserve">e 4.1: </w:t>
      </w:r>
      <w:r w:rsidRPr="005B37DF">
        <w:rPr>
          <w:rFonts w:ascii="Tahoma" w:eastAsia="Tahoma" w:hAnsi="Tahoma" w:cs="Tahoma"/>
          <w:color w:val="000000"/>
          <w:sz w:val="28"/>
          <w:szCs w:val="28"/>
        </w:rPr>
        <w:t>Breakdown of Projects Awarded</w:t>
      </w:r>
      <w:r w:rsidR="006868F3">
        <w:rPr>
          <w:rFonts w:ascii="Tahoma" w:eastAsia="Tahoma" w:hAnsi="Tahoma" w:cs="Tahoma"/>
          <w:color w:val="000000"/>
          <w:sz w:val="28"/>
          <w:szCs w:val="28"/>
        </w:rPr>
        <w:t>…………………………….….…..43</w:t>
      </w:r>
    </w:p>
    <w:p w:rsidR="00866067" w:rsidRPr="005B37DF" w:rsidRDefault="00866067" w:rsidP="00866067">
      <w:pPr>
        <w:pStyle w:val="NoSpacing"/>
        <w:spacing w:line="360" w:lineRule="auto"/>
        <w:jc w:val="both"/>
        <w:rPr>
          <w:rFonts w:ascii="Tahoma" w:eastAsia="Tahoma" w:hAnsi="Tahoma" w:cs="Tahoma"/>
          <w:color w:val="000000"/>
          <w:sz w:val="28"/>
          <w:szCs w:val="28"/>
        </w:rPr>
      </w:pPr>
      <w:r>
        <w:rPr>
          <w:rFonts w:ascii="Tahoma" w:hAnsi="Tahoma" w:cs="Tahoma"/>
          <w:sz w:val="28"/>
          <w:szCs w:val="28"/>
        </w:rPr>
        <w:t>Table 4.2:</w:t>
      </w:r>
      <w:r w:rsidRPr="005B37DF">
        <w:rPr>
          <w:rFonts w:ascii="Tahoma" w:hAnsi="Tahoma" w:cs="Tahoma"/>
          <w:sz w:val="28"/>
          <w:szCs w:val="28"/>
        </w:rPr>
        <w:t xml:space="preserve"> </w:t>
      </w:r>
      <w:r w:rsidRPr="005B37DF">
        <w:rPr>
          <w:rFonts w:ascii="Tahoma" w:eastAsia="Tahoma" w:hAnsi="Tahoma" w:cs="Tahoma"/>
          <w:color w:val="000000"/>
          <w:sz w:val="28"/>
          <w:szCs w:val="28"/>
        </w:rPr>
        <w:t xml:space="preserve">Summary of Projects Awarded Through STB between </w:t>
      </w:r>
    </w:p>
    <w:p w:rsidR="00866067" w:rsidRDefault="00866067" w:rsidP="00866067">
      <w:pPr>
        <w:pStyle w:val="NoSpacing"/>
        <w:spacing w:line="360" w:lineRule="auto"/>
        <w:ind w:left="720" w:firstLine="720"/>
        <w:jc w:val="both"/>
        <w:rPr>
          <w:rFonts w:ascii="Tahoma" w:eastAsiaTheme="minorHAnsi" w:hAnsi="Tahoma" w:cs="Tahoma"/>
          <w:sz w:val="28"/>
          <w:szCs w:val="28"/>
          <w:lang w:val="cy-GB"/>
        </w:rPr>
      </w:pPr>
      <w:r w:rsidRPr="005B37DF">
        <w:rPr>
          <w:rFonts w:ascii="Tahoma" w:eastAsia="Tahoma" w:hAnsi="Tahoma" w:cs="Tahoma"/>
          <w:color w:val="000000"/>
          <w:sz w:val="28"/>
          <w:szCs w:val="28"/>
        </w:rPr>
        <w:t>January-March, 2019</w:t>
      </w:r>
      <w:r>
        <w:rPr>
          <w:rFonts w:ascii="Tahoma" w:eastAsia="Tahoma" w:hAnsi="Tahoma" w:cs="Tahoma"/>
          <w:color w:val="000000"/>
          <w:sz w:val="28"/>
          <w:szCs w:val="28"/>
        </w:rPr>
        <w:t>………………………………………………</w:t>
      </w:r>
      <w:r w:rsidR="006868F3">
        <w:rPr>
          <w:rFonts w:ascii="Tahoma" w:hAnsi="Tahoma" w:cs="Tahoma"/>
          <w:sz w:val="28"/>
          <w:szCs w:val="28"/>
        </w:rPr>
        <w:t>.....44</w:t>
      </w:r>
      <w:r w:rsidRPr="003E57B6">
        <w:rPr>
          <w:b/>
          <w:sz w:val="28"/>
          <w:szCs w:val="28"/>
        </w:rPr>
        <w:t xml:space="preserve"> </w:t>
      </w:r>
    </w:p>
    <w:p w:rsidR="00866067" w:rsidRDefault="00866067" w:rsidP="00866067">
      <w:pPr>
        <w:pStyle w:val="NoSpacing"/>
        <w:ind w:left="720" w:firstLine="720"/>
        <w:jc w:val="both"/>
        <w:rPr>
          <w:rFonts w:ascii="Tahoma" w:eastAsiaTheme="minorHAnsi" w:hAnsi="Tahoma" w:cs="Tahoma"/>
          <w:sz w:val="28"/>
          <w:szCs w:val="28"/>
          <w:lang w:val="cy-GB"/>
        </w:rPr>
      </w:pPr>
    </w:p>
    <w:p w:rsidR="00866067" w:rsidRDefault="00866067" w:rsidP="00866067">
      <w:pPr>
        <w:pStyle w:val="NoSpacing"/>
        <w:ind w:left="720" w:firstLine="720"/>
        <w:jc w:val="both"/>
        <w:rPr>
          <w:rFonts w:ascii="Tahoma" w:eastAsiaTheme="minorHAnsi" w:hAnsi="Tahoma" w:cs="Tahoma"/>
          <w:sz w:val="28"/>
          <w:szCs w:val="28"/>
          <w:lang w:val="cy-GB"/>
        </w:rPr>
      </w:pPr>
    </w:p>
    <w:p w:rsidR="00866067" w:rsidRDefault="00866067" w:rsidP="00866067">
      <w:pPr>
        <w:pStyle w:val="NoSpacing"/>
        <w:ind w:left="720" w:firstLine="720"/>
        <w:jc w:val="both"/>
        <w:rPr>
          <w:rFonts w:ascii="Tahoma" w:eastAsiaTheme="minorHAnsi" w:hAnsi="Tahoma" w:cs="Tahoma"/>
          <w:sz w:val="28"/>
          <w:szCs w:val="28"/>
          <w:lang w:val="cy-GB"/>
        </w:rPr>
      </w:pPr>
    </w:p>
    <w:p w:rsidR="00866067" w:rsidRDefault="00866067" w:rsidP="00866067">
      <w:pPr>
        <w:pStyle w:val="NoSpacing"/>
        <w:ind w:left="720" w:firstLine="720"/>
        <w:jc w:val="both"/>
        <w:rPr>
          <w:rFonts w:ascii="Tahoma" w:eastAsiaTheme="minorHAnsi" w:hAnsi="Tahoma" w:cs="Tahoma"/>
          <w:sz w:val="28"/>
          <w:szCs w:val="28"/>
          <w:lang w:val="cy-GB"/>
        </w:rPr>
      </w:pPr>
    </w:p>
    <w:p w:rsidR="00866067" w:rsidRDefault="00866067" w:rsidP="00866067">
      <w:pPr>
        <w:pStyle w:val="NoSpacing"/>
        <w:ind w:left="720" w:firstLine="720"/>
        <w:jc w:val="both"/>
        <w:rPr>
          <w:rFonts w:ascii="Tahoma" w:eastAsiaTheme="minorHAnsi" w:hAnsi="Tahoma" w:cs="Tahoma"/>
          <w:sz w:val="28"/>
          <w:szCs w:val="28"/>
          <w:lang w:val="cy-GB"/>
        </w:rPr>
      </w:pPr>
    </w:p>
    <w:p w:rsidR="00866067" w:rsidRDefault="00866067" w:rsidP="00866067">
      <w:pPr>
        <w:pStyle w:val="NoSpacing"/>
        <w:ind w:left="720" w:firstLine="720"/>
        <w:jc w:val="both"/>
        <w:rPr>
          <w:rFonts w:ascii="Tahoma" w:eastAsiaTheme="minorHAnsi" w:hAnsi="Tahoma" w:cs="Tahoma"/>
          <w:sz w:val="28"/>
          <w:szCs w:val="28"/>
          <w:lang w:val="cy-GB"/>
        </w:rPr>
      </w:pPr>
    </w:p>
    <w:p w:rsidR="00866067" w:rsidRPr="00C66AD5" w:rsidRDefault="00866067" w:rsidP="00866067">
      <w:pPr>
        <w:pStyle w:val="NoSpacing"/>
        <w:ind w:left="720" w:firstLine="720"/>
        <w:jc w:val="both"/>
        <w:rPr>
          <w:rFonts w:ascii="Tahoma" w:hAnsi="Tahoma" w:cs="Tahoma"/>
          <w:sz w:val="28"/>
          <w:szCs w:val="28"/>
        </w:rPr>
      </w:pPr>
    </w:p>
    <w:p w:rsidR="00866067" w:rsidRDefault="00866067" w:rsidP="00866067">
      <w:pPr>
        <w:spacing w:line="360" w:lineRule="auto"/>
        <w:jc w:val="center"/>
        <w:rPr>
          <w:rFonts w:ascii="Tahoma" w:hAnsi="Tahoma" w:cs="Tahoma"/>
          <w:b/>
          <w:sz w:val="28"/>
          <w:szCs w:val="28"/>
        </w:rPr>
      </w:pPr>
    </w:p>
    <w:p w:rsidR="00D403D9" w:rsidRDefault="00D403D9" w:rsidP="00866067">
      <w:pPr>
        <w:spacing w:line="360" w:lineRule="auto"/>
        <w:jc w:val="center"/>
        <w:rPr>
          <w:rFonts w:ascii="Tahoma" w:hAnsi="Tahoma" w:cs="Tahoma"/>
          <w:b/>
          <w:sz w:val="28"/>
          <w:szCs w:val="28"/>
        </w:rPr>
      </w:pPr>
    </w:p>
    <w:p w:rsidR="00866067" w:rsidRDefault="00866067" w:rsidP="00866067">
      <w:pPr>
        <w:spacing w:line="360" w:lineRule="auto"/>
        <w:jc w:val="center"/>
        <w:rPr>
          <w:rFonts w:ascii="Tahoma" w:hAnsi="Tahoma" w:cs="Tahoma"/>
          <w:b/>
          <w:sz w:val="28"/>
          <w:szCs w:val="28"/>
        </w:rPr>
      </w:pPr>
    </w:p>
    <w:p w:rsidR="00866067" w:rsidRDefault="00866067" w:rsidP="00866067">
      <w:pPr>
        <w:spacing w:line="360" w:lineRule="auto"/>
        <w:rPr>
          <w:rFonts w:ascii="Tahoma" w:hAnsi="Tahoma" w:cs="Tahoma"/>
          <w:b/>
          <w:sz w:val="28"/>
          <w:szCs w:val="28"/>
        </w:rPr>
      </w:pPr>
    </w:p>
    <w:p w:rsidR="00866067" w:rsidRPr="00403F8D" w:rsidRDefault="00866067" w:rsidP="00866067">
      <w:pPr>
        <w:spacing w:line="360" w:lineRule="auto"/>
        <w:jc w:val="center"/>
        <w:rPr>
          <w:rFonts w:ascii="Tahoma" w:hAnsi="Tahoma" w:cs="Tahoma"/>
          <w:b/>
          <w:sz w:val="28"/>
          <w:szCs w:val="28"/>
        </w:rPr>
      </w:pPr>
      <w:r w:rsidRPr="00403F8D">
        <w:rPr>
          <w:rFonts w:ascii="Tahoma" w:hAnsi="Tahoma" w:cs="Tahoma"/>
          <w:b/>
          <w:sz w:val="28"/>
          <w:szCs w:val="28"/>
        </w:rPr>
        <w:lastRenderedPageBreak/>
        <w:t>LIST OF FIGURES</w:t>
      </w:r>
    </w:p>
    <w:p w:rsidR="00866067" w:rsidRPr="00893209" w:rsidRDefault="00866067" w:rsidP="00866067">
      <w:pPr>
        <w:spacing w:after="0" w:line="360" w:lineRule="auto"/>
        <w:ind w:left="1560" w:hanging="1560"/>
        <w:rPr>
          <w:rFonts w:ascii="Tahoma" w:hAnsi="Tahoma" w:cs="Tahoma"/>
          <w:sz w:val="28"/>
          <w:szCs w:val="28"/>
          <w:lang w:val="en-CA"/>
        </w:rPr>
      </w:pPr>
      <w:r>
        <w:rPr>
          <w:rFonts w:ascii="Tahoma" w:hAnsi="Tahoma" w:cs="Tahoma"/>
          <w:sz w:val="28"/>
          <w:szCs w:val="28"/>
        </w:rPr>
        <w:t>Figure 2.1:</w:t>
      </w:r>
      <w:r w:rsidRPr="00893209">
        <w:rPr>
          <w:rFonts w:ascii="Tahoma" w:hAnsi="Tahoma" w:cs="Tahoma"/>
          <w:sz w:val="28"/>
          <w:szCs w:val="28"/>
          <w:lang w:val="en-CA"/>
        </w:rPr>
        <w:t xml:space="preserve"> Bar Chart Showing 2019 First Quarter Revenue </w:t>
      </w:r>
      <w:r w:rsidRPr="00893209">
        <w:rPr>
          <w:rFonts w:ascii="Tahoma" w:hAnsi="Tahoma" w:cs="Tahoma"/>
          <w:sz w:val="28"/>
          <w:szCs w:val="28"/>
          <w:lang w:val="en-CA"/>
        </w:rPr>
        <w:tab/>
        <w:t xml:space="preserve">   </w:t>
      </w:r>
      <w:r>
        <w:rPr>
          <w:rFonts w:ascii="Tahoma" w:hAnsi="Tahoma" w:cs="Tahoma"/>
          <w:sz w:val="28"/>
          <w:szCs w:val="28"/>
          <w:lang w:val="en-CA"/>
        </w:rPr>
        <w:t>Performance……………………………………………………..</w:t>
      </w:r>
      <w:r w:rsidR="006868F3">
        <w:rPr>
          <w:rFonts w:ascii="Tahoma" w:hAnsi="Tahoma" w:cs="Tahoma"/>
          <w:sz w:val="28"/>
          <w:szCs w:val="28"/>
        </w:rPr>
        <w:t>……..14</w:t>
      </w:r>
    </w:p>
    <w:p w:rsidR="00866067" w:rsidRDefault="00866067" w:rsidP="00866067">
      <w:pPr>
        <w:spacing w:line="240" w:lineRule="auto"/>
        <w:rPr>
          <w:rFonts w:ascii="Tahoma" w:hAnsi="Tahoma" w:cs="Tahoma"/>
          <w:sz w:val="28"/>
          <w:szCs w:val="28"/>
        </w:rPr>
      </w:pPr>
      <w:r>
        <w:rPr>
          <w:rFonts w:ascii="Tahoma" w:hAnsi="Tahoma" w:cs="Tahoma"/>
          <w:sz w:val="28"/>
          <w:szCs w:val="28"/>
        </w:rPr>
        <w:t>Figure 2.2:</w:t>
      </w:r>
      <w:r w:rsidRPr="00893209">
        <w:rPr>
          <w:rFonts w:ascii="Tahoma" w:hAnsi="Tahoma" w:cs="Tahoma"/>
          <w:sz w:val="28"/>
          <w:szCs w:val="28"/>
        </w:rPr>
        <w:t xml:space="preserve"> Bar Chart Showing First Quarter Revenue Categories</w:t>
      </w:r>
      <w:r w:rsidR="006868F3">
        <w:rPr>
          <w:rFonts w:ascii="Tahoma" w:hAnsi="Tahoma" w:cs="Tahoma"/>
          <w:sz w:val="28"/>
          <w:szCs w:val="28"/>
        </w:rPr>
        <w:t>.......15</w:t>
      </w:r>
    </w:p>
    <w:p w:rsidR="00866067" w:rsidRDefault="00866067" w:rsidP="00866067">
      <w:pPr>
        <w:spacing w:line="360" w:lineRule="auto"/>
        <w:rPr>
          <w:rFonts w:ascii="Tahoma" w:hAnsi="Tahoma" w:cs="Tahoma"/>
          <w:sz w:val="28"/>
          <w:szCs w:val="28"/>
        </w:rPr>
      </w:pPr>
      <w:r>
        <w:rPr>
          <w:rFonts w:ascii="Tahoma" w:hAnsi="Tahoma" w:cs="Tahoma"/>
          <w:sz w:val="28"/>
          <w:szCs w:val="28"/>
        </w:rPr>
        <w:t xml:space="preserve">Figure 2.3: </w:t>
      </w:r>
      <w:r w:rsidRPr="00893209">
        <w:rPr>
          <w:rFonts w:ascii="Tahoma" w:hAnsi="Tahoma" w:cs="Tahoma"/>
          <w:sz w:val="28"/>
          <w:szCs w:val="28"/>
        </w:rPr>
        <w:t>Pie Chart Showing Share of Revenue Categories</w:t>
      </w:r>
      <w:r w:rsidR="006868F3">
        <w:rPr>
          <w:rFonts w:ascii="Tahoma" w:hAnsi="Tahoma" w:cs="Tahoma"/>
          <w:sz w:val="28"/>
          <w:szCs w:val="28"/>
        </w:rPr>
        <w:t>.........…..16</w:t>
      </w:r>
    </w:p>
    <w:p w:rsidR="00866067" w:rsidRDefault="00866067" w:rsidP="00866067">
      <w:pPr>
        <w:spacing w:line="360" w:lineRule="auto"/>
        <w:rPr>
          <w:rFonts w:ascii="Tahoma" w:hAnsi="Tahoma" w:cs="Tahoma"/>
          <w:sz w:val="28"/>
          <w:szCs w:val="28"/>
        </w:rPr>
      </w:pPr>
      <w:r>
        <w:rPr>
          <w:rFonts w:ascii="Tahoma" w:hAnsi="Tahoma" w:cs="Tahoma"/>
          <w:sz w:val="28"/>
          <w:szCs w:val="28"/>
        </w:rPr>
        <w:t xml:space="preserve">Figure 2.4: </w:t>
      </w:r>
      <w:r w:rsidRPr="00893209">
        <w:rPr>
          <w:rFonts w:ascii="Tahoma" w:hAnsi="Tahoma" w:cs="Tahoma"/>
          <w:sz w:val="28"/>
          <w:szCs w:val="28"/>
          <w:lang w:val="en-CA"/>
        </w:rPr>
        <w:t xml:space="preserve">Bar Chart showing Components of Revenue from </w:t>
      </w:r>
      <w:r w:rsidRPr="00893209">
        <w:rPr>
          <w:rFonts w:ascii="Tahoma" w:hAnsi="Tahoma" w:cs="Tahoma"/>
          <w:sz w:val="28"/>
          <w:szCs w:val="28"/>
          <w:lang w:val="en-CA"/>
        </w:rPr>
        <w:tab/>
        <w:t xml:space="preserve">    </w:t>
      </w:r>
      <w:r w:rsidRPr="00893209">
        <w:rPr>
          <w:rFonts w:ascii="Tahoma" w:hAnsi="Tahoma" w:cs="Tahoma"/>
          <w:sz w:val="28"/>
          <w:szCs w:val="28"/>
          <w:lang w:val="en-CA"/>
        </w:rPr>
        <w:tab/>
      </w:r>
      <w:r w:rsidRPr="00893209">
        <w:rPr>
          <w:rFonts w:ascii="Tahoma" w:hAnsi="Tahoma" w:cs="Tahoma"/>
          <w:sz w:val="28"/>
          <w:szCs w:val="28"/>
          <w:lang w:val="en-CA"/>
        </w:rPr>
        <w:tab/>
      </w:r>
      <w:r>
        <w:rPr>
          <w:rFonts w:ascii="Tahoma" w:hAnsi="Tahoma" w:cs="Tahoma"/>
          <w:sz w:val="28"/>
          <w:szCs w:val="28"/>
          <w:lang w:val="en-CA"/>
        </w:rPr>
        <w:t xml:space="preserve">        </w:t>
      </w:r>
      <w:r w:rsidRPr="00893209">
        <w:rPr>
          <w:rFonts w:ascii="Tahoma" w:hAnsi="Tahoma" w:cs="Tahoma"/>
          <w:sz w:val="28"/>
          <w:szCs w:val="28"/>
          <w:lang w:val="en-CA"/>
        </w:rPr>
        <w:t>Federation Account</w:t>
      </w:r>
      <w:r w:rsidRPr="00893209">
        <w:rPr>
          <w:rFonts w:ascii="Tahoma" w:hAnsi="Tahoma" w:cs="Tahoma"/>
          <w:sz w:val="28"/>
          <w:szCs w:val="28"/>
        </w:rPr>
        <w:t xml:space="preserve"> </w:t>
      </w:r>
      <w:r>
        <w:rPr>
          <w:rFonts w:ascii="Tahoma" w:hAnsi="Tahoma" w:cs="Tahoma"/>
          <w:sz w:val="28"/>
          <w:szCs w:val="28"/>
        </w:rPr>
        <w:t>………………........</w:t>
      </w:r>
      <w:r w:rsidR="006868F3">
        <w:rPr>
          <w:rFonts w:ascii="Tahoma" w:hAnsi="Tahoma" w:cs="Tahoma"/>
          <w:sz w:val="28"/>
          <w:szCs w:val="28"/>
        </w:rPr>
        <w:t>..............................17</w:t>
      </w:r>
    </w:p>
    <w:p w:rsidR="00866067" w:rsidRPr="0063710A" w:rsidRDefault="00866067" w:rsidP="00866067">
      <w:pPr>
        <w:pStyle w:val="NoSpacing"/>
        <w:spacing w:line="480" w:lineRule="auto"/>
        <w:ind w:left="1843" w:hanging="1843"/>
        <w:jc w:val="both"/>
        <w:rPr>
          <w:rFonts w:ascii="Tahoma" w:hAnsi="Tahoma" w:cs="Tahoma"/>
          <w:sz w:val="28"/>
          <w:szCs w:val="28"/>
        </w:rPr>
      </w:pPr>
      <w:r>
        <w:rPr>
          <w:rFonts w:ascii="Tahoma" w:hAnsi="Tahoma" w:cs="Tahoma"/>
          <w:sz w:val="28"/>
          <w:szCs w:val="28"/>
        </w:rPr>
        <w:t>Figure 2.5:</w:t>
      </w:r>
      <w:r w:rsidRPr="00893209">
        <w:rPr>
          <w:rFonts w:ascii="Tahoma" w:hAnsi="Tahoma" w:cs="Tahoma"/>
          <w:sz w:val="28"/>
          <w:szCs w:val="28"/>
        </w:rPr>
        <w:t xml:space="preserve"> Bar Chart showing Co</w:t>
      </w:r>
      <w:r>
        <w:rPr>
          <w:rFonts w:ascii="Tahoma" w:hAnsi="Tahoma" w:cs="Tahoma"/>
          <w:sz w:val="28"/>
          <w:szCs w:val="28"/>
        </w:rPr>
        <w:t>mponents of Independe</w:t>
      </w:r>
      <w:r w:rsidR="006868F3">
        <w:rPr>
          <w:rFonts w:ascii="Tahoma" w:hAnsi="Tahoma" w:cs="Tahoma"/>
          <w:sz w:val="28"/>
          <w:szCs w:val="28"/>
        </w:rPr>
        <w:t>nt Revenue.18</w:t>
      </w:r>
    </w:p>
    <w:p w:rsidR="00866067" w:rsidRDefault="00866067" w:rsidP="00866067">
      <w:pPr>
        <w:spacing w:line="360" w:lineRule="auto"/>
        <w:ind w:left="1701" w:hanging="1701"/>
        <w:jc w:val="both"/>
        <w:rPr>
          <w:rFonts w:ascii="Tahoma" w:hAnsi="Tahoma" w:cs="Tahoma"/>
          <w:sz w:val="28"/>
          <w:szCs w:val="28"/>
        </w:rPr>
      </w:pPr>
      <w:r w:rsidRPr="005275A2">
        <w:rPr>
          <w:rFonts w:ascii="Tahoma" w:hAnsi="Tahoma" w:cs="Tahoma"/>
          <w:sz w:val="28"/>
          <w:szCs w:val="28"/>
        </w:rPr>
        <w:t>Figure 2.</w:t>
      </w:r>
      <w:r>
        <w:rPr>
          <w:rFonts w:ascii="Tahoma" w:hAnsi="Tahoma" w:cs="Tahoma"/>
          <w:sz w:val="28"/>
          <w:szCs w:val="28"/>
        </w:rPr>
        <w:t xml:space="preserve">6: </w:t>
      </w:r>
      <w:r w:rsidRPr="00893209">
        <w:rPr>
          <w:rFonts w:ascii="Tahoma" w:hAnsi="Tahoma" w:cs="Tahoma"/>
          <w:sz w:val="28"/>
          <w:szCs w:val="28"/>
        </w:rPr>
        <w:t xml:space="preserve">Bar Chart Showing Components of Revenue from </w:t>
      </w:r>
    </w:p>
    <w:p w:rsidR="00866067" w:rsidRPr="00893209" w:rsidRDefault="00866067" w:rsidP="00866067">
      <w:pPr>
        <w:spacing w:line="360" w:lineRule="auto"/>
        <w:jc w:val="both"/>
        <w:rPr>
          <w:rFonts w:ascii="Tahoma" w:hAnsi="Tahoma" w:cs="Tahoma"/>
          <w:sz w:val="28"/>
          <w:szCs w:val="28"/>
          <w:lang w:val="en-CA"/>
        </w:rPr>
      </w:pPr>
      <w:r>
        <w:rPr>
          <w:rFonts w:ascii="Tahoma" w:hAnsi="Tahoma" w:cs="Tahoma"/>
          <w:sz w:val="28"/>
          <w:szCs w:val="28"/>
        </w:rPr>
        <w:t xml:space="preserve">               </w:t>
      </w:r>
      <w:r w:rsidRPr="00893209">
        <w:rPr>
          <w:rFonts w:ascii="Tahoma" w:hAnsi="Tahoma" w:cs="Tahoma"/>
          <w:sz w:val="28"/>
          <w:szCs w:val="28"/>
        </w:rPr>
        <w:t>Other Sources</w:t>
      </w:r>
      <w:r>
        <w:rPr>
          <w:rFonts w:ascii="Tahoma" w:hAnsi="Tahoma" w:cs="Tahoma"/>
          <w:sz w:val="28"/>
          <w:szCs w:val="28"/>
          <w:lang w:val="en-CA"/>
        </w:rPr>
        <w:t>………………………………………………………….</w:t>
      </w:r>
      <w:r w:rsidR="006868F3">
        <w:rPr>
          <w:rFonts w:ascii="Tahoma" w:hAnsi="Tahoma" w:cs="Tahoma"/>
          <w:sz w:val="28"/>
          <w:szCs w:val="28"/>
        </w:rPr>
        <w:t>….19</w:t>
      </w:r>
    </w:p>
    <w:p w:rsidR="00866067" w:rsidRDefault="00866067" w:rsidP="00866067">
      <w:pPr>
        <w:spacing w:after="0" w:line="360" w:lineRule="auto"/>
        <w:ind w:left="1701" w:hanging="1701"/>
        <w:jc w:val="both"/>
        <w:rPr>
          <w:rFonts w:ascii="Tahoma" w:hAnsi="Tahoma" w:cs="Tahoma"/>
          <w:sz w:val="28"/>
          <w:szCs w:val="28"/>
        </w:rPr>
      </w:pPr>
      <w:r>
        <w:rPr>
          <w:rFonts w:ascii="Tahoma" w:hAnsi="Tahoma" w:cs="Tahoma"/>
          <w:sz w:val="28"/>
          <w:szCs w:val="28"/>
        </w:rPr>
        <w:t>Figure 3.1:</w:t>
      </w:r>
      <w:r w:rsidRPr="00B026C9">
        <w:rPr>
          <w:rFonts w:ascii="Tahoma" w:hAnsi="Tahoma" w:cs="Tahoma"/>
          <w:b/>
          <w:sz w:val="28"/>
          <w:szCs w:val="28"/>
        </w:rPr>
        <w:t xml:space="preserve"> </w:t>
      </w:r>
      <w:r w:rsidRPr="00B026C9">
        <w:rPr>
          <w:rFonts w:ascii="Tahoma" w:hAnsi="Tahoma" w:cs="Tahoma"/>
          <w:sz w:val="28"/>
          <w:szCs w:val="28"/>
        </w:rPr>
        <w:t xml:space="preserve">Bar Chart Showing First Quarter Total </w:t>
      </w:r>
    </w:p>
    <w:p w:rsidR="00866067" w:rsidRDefault="00866067" w:rsidP="00866067">
      <w:pPr>
        <w:spacing w:after="0" w:line="360" w:lineRule="auto"/>
        <w:ind w:left="1701" w:hanging="261"/>
        <w:jc w:val="both"/>
        <w:rPr>
          <w:rFonts w:ascii="Tahoma" w:hAnsi="Tahoma" w:cs="Tahoma"/>
          <w:sz w:val="28"/>
          <w:szCs w:val="28"/>
        </w:rPr>
      </w:pPr>
      <w:r w:rsidRPr="00B026C9">
        <w:rPr>
          <w:rFonts w:ascii="Tahoma" w:hAnsi="Tahoma" w:cs="Tahoma"/>
          <w:sz w:val="28"/>
          <w:szCs w:val="28"/>
        </w:rPr>
        <w:t xml:space="preserve">Expenditure Performance </w:t>
      </w:r>
      <w:r>
        <w:rPr>
          <w:rFonts w:ascii="Tahoma" w:hAnsi="Tahoma" w:cs="Tahoma"/>
          <w:sz w:val="28"/>
          <w:szCs w:val="28"/>
        </w:rPr>
        <w:t>..............</w:t>
      </w:r>
      <w:r w:rsidR="006868F3">
        <w:rPr>
          <w:rFonts w:ascii="Tahoma" w:hAnsi="Tahoma" w:cs="Tahoma"/>
          <w:sz w:val="28"/>
          <w:szCs w:val="28"/>
        </w:rPr>
        <w:t>….............................22</w:t>
      </w:r>
    </w:p>
    <w:p w:rsidR="00866067" w:rsidRDefault="00866067" w:rsidP="00866067">
      <w:pPr>
        <w:spacing w:line="360" w:lineRule="auto"/>
        <w:ind w:left="1701" w:hanging="1701"/>
        <w:jc w:val="both"/>
        <w:rPr>
          <w:rFonts w:ascii="Tahoma" w:hAnsi="Tahoma" w:cs="Tahoma"/>
          <w:sz w:val="28"/>
          <w:szCs w:val="28"/>
        </w:rPr>
      </w:pPr>
      <w:r>
        <w:rPr>
          <w:rFonts w:ascii="Tahoma" w:hAnsi="Tahoma" w:cs="Tahoma"/>
          <w:sz w:val="28"/>
          <w:szCs w:val="28"/>
        </w:rPr>
        <w:t xml:space="preserve">Figure 3.2: </w:t>
      </w:r>
      <w:r w:rsidRPr="00584E13">
        <w:rPr>
          <w:rFonts w:ascii="Tahoma" w:hAnsi="Tahoma" w:cs="Tahoma"/>
          <w:sz w:val="28"/>
          <w:szCs w:val="28"/>
        </w:rPr>
        <w:t>Bar Chart Showing First Quarter Performance of</w:t>
      </w:r>
    </w:p>
    <w:p w:rsidR="00866067" w:rsidRDefault="00866067" w:rsidP="00866067">
      <w:pPr>
        <w:spacing w:line="360" w:lineRule="auto"/>
        <w:ind w:left="1701" w:hanging="261"/>
        <w:jc w:val="both"/>
        <w:rPr>
          <w:rFonts w:ascii="Tahoma" w:hAnsi="Tahoma" w:cs="Tahoma"/>
          <w:sz w:val="28"/>
          <w:szCs w:val="28"/>
        </w:rPr>
      </w:pPr>
      <w:r>
        <w:rPr>
          <w:rFonts w:ascii="Tahoma" w:hAnsi="Tahoma" w:cs="Tahoma"/>
          <w:sz w:val="28"/>
          <w:szCs w:val="28"/>
        </w:rPr>
        <w:t>Expenditure Classification..</w:t>
      </w:r>
      <w:r w:rsidR="006868F3">
        <w:rPr>
          <w:rFonts w:ascii="Tahoma" w:hAnsi="Tahoma" w:cs="Tahoma"/>
          <w:sz w:val="28"/>
          <w:szCs w:val="28"/>
        </w:rPr>
        <w:t>....................……………………..23</w:t>
      </w:r>
    </w:p>
    <w:p w:rsidR="00866067" w:rsidRDefault="00866067" w:rsidP="00866067">
      <w:pPr>
        <w:pStyle w:val="NoSpacing"/>
        <w:spacing w:line="360" w:lineRule="auto"/>
        <w:ind w:left="1560" w:hanging="1560"/>
        <w:rPr>
          <w:rFonts w:ascii="Tahoma" w:hAnsi="Tahoma" w:cs="Tahoma"/>
          <w:sz w:val="28"/>
          <w:szCs w:val="28"/>
        </w:rPr>
      </w:pPr>
      <w:r>
        <w:rPr>
          <w:rFonts w:ascii="Tahoma" w:hAnsi="Tahoma" w:cs="Tahoma"/>
          <w:sz w:val="28"/>
          <w:szCs w:val="28"/>
        </w:rPr>
        <w:t>Figure 3.3:</w:t>
      </w:r>
      <w:r w:rsidRPr="00584E13">
        <w:rPr>
          <w:rFonts w:ascii="Tahoma" w:hAnsi="Tahoma" w:cs="Tahoma"/>
          <w:sz w:val="28"/>
          <w:szCs w:val="28"/>
        </w:rPr>
        <w:t xml:space="preserve"> Pie Chart Showing Share of First Quarter </w:t>
      </w:r>
    </w:p>
    <w:p w:rsidR="00866067" w:rsidRDefault="00866067" w:rsidP="00866067">
      <w:pPr>
        <w:pStyle w:val="NoSpacing"/>
        <w:spacing w:line="360" w:lineRule="auto"/>
        <w:ind w:left="1560" w:hanging="120"/>
        <w:rPr>
          <w:rFonts w:ascii="Tahoma" w:hAnsi="Tahoma" w:cs="Tahoma"/>
          <w:sz w:val="28"/>
          <w:szCs w:val="28"/>
        </w:rPr>
      </w:pPr>
      <w:r w:rsidRPr="00584E13">
        <w:rPr>
          <w:rFonts w:ascii="Tahoma" w:hAnsi="Tahoma" w:cs="Tahoma"/>
          <w:sz w:val="28"/>
          <w:szCs w:val="28"/>
        </w:rPr>
        <w:t>Actual Expenditure</w:t>
      </w:r>
      <w:r>
        <w:rPr>
          <w:rFonts w:ascii="Tahoma" w:hAnsi="Tahoma" w:cs="Tahoma"/>
          <w:sz w:val="28"/>
          <w:szCs w:val="28"/>
        </w:rPr>
        <w:t xml:space="preserve"> </w:t>
      </w:r>
      <w:r w:rsidRPr="00584E13">
        <w:rPr>
          <w:rFonts w:ascii="Tahoma" w:hAnsi="Tahoma" w:cs="Tahoma"/>
          <w:sz w:val="28"/>
          <w:szCs w:val="28"/>
        </w:rPr>
        <w:t>Performance</w:t>
      </w:r>
      <w:r w:rsidR="006868F3">
        <w:rPr>
          <w:rFonts w:ascii="Tahoma" w:hAnsi="Tahoma" w:cs="Tahoma"/>
          <w:sz w:val="28"/>
          <w:szCs w:val="28"/>
        </w:rPr>
        <w:t>……………………….…………25</w:t>
      </w:r>
    </w:p>
    <w:p w:rsidR="00866067" w:rsidRDefault="00866067" w:rsidP="00866067">
      <w:pPr>
        <w:pStyle w:val="NoSpacing"/>
        <w:spacing w:line="360" w:lineRule="auto"/>
        <w:ind w:left="1418" w:hanging="1418"/>
        <w:rPr>
          <w:rFonts w:ascii="Tahoma" w:hAnsi="Tahoma" w:cs="Tahoma"/>
          <w:sz w:val="28"/>
          <w:szCs w:val="28"/>
        </w:rPr>
      </w:pPr>
      <w:r>
        <w:rPr>
          <w:rFonts w:ascii="Tahoma" w:hAnsi="Tahoma" w:cs="Tahoma"/>
          <w:sz w:val="28"/>
          <w:szCs w:val="28"/>
        </w:rPr>
        <w:t>Figure 3.4:</w:t>
      </w:r>
      <w:r w:rsidRPr="00584E13">
        <w:rPr>
          <w:rFonts w:ascii="Tahoma" w:hAnsi="Tahoma" w:cs="Tahoma"/>
          <w:sz w:val="28"/>
          <w:szCs w:val="28"/>
        </w:rPr>
        <w:t xml:space="preserve"> Bar Chart Showing First Quarter Recurrent Expenditure</w:t>
      </w:r>
      <w:r>
        <w:rPr>
          <w:rFonts w:ascii="Tahoma" w:hAnsi="Tahoma" w:cs="Tahoma"/>
          <w:sz w:val="28"/>
          <w:szCs w:val="28"/>
        </w:rPr>
        <w:t xml:space="preserve"> </w:t>
      </w:r>
      <w:r w:rsidRPr="00584E13">
        <w:rPr>
          <w:rFonts w:ascii="Tahoma" w:hAnsi="Tahoma" w:cs="Tahoma"/>
          <w:sz w:val="28"/>
          <w:szCs w:val="28"/>
        </w:rPr>
        <w:t>Components</w:t>
      </w:r>
      <w:r w:rsidR="006868F3">
        <w:rPr>
          <w:rFonts w:ascii="Tahoma" w:hAnsi="Tahoma" w:cs="Tahoma"/>
          <w:sz w:val="28"/>
          <w:szCs w:val="28"/>
        </w:rPr>
        <w:t>……………………………………………………………...27</w:t>
      </w:r>
    </w:p>
    <w:p w:rsidR="00866067" w:rsidRDefault="00866067" w:rsidP="00866067">
      <w:pPr>
        <w:pStyle w:val="NoSpacing"/>
        <w:spacing w:line="360" w:lineRule="auto"/>
        <w:ind w:left="1418" w:hanging="1418"/>
        <w:rPr>
          <w:rFonts w:ascii="Tahoma" w:hAnsi="Tahoma" w:cs="Tahoma"/>
          <w:sz w:val="28"/>
          <w:szCs w:val="28"/>
        </w:rPr>
      </w:pPr>
      <w:r>
        <w:rPr>
          <w:rFonts w:ascii="Tahoma" w:hAnsi="Tahoma" w:cs="Tahoma"/>
          <w:sz w:val="28"/>
          <w:szCs w:val="28"/>
        </w:rPr>
        <w:t>Figure 3.5</w:t>
      </w:r>
      <w:r w:rsidRPr="005C418F">
        <w:rPr>
          <w:rFonts w:ascii="Tahoma" w:hAnsi="Tahoma" w:cs="Tahoma"/>
          <w:sz w:val="28"/>
          <w:szCs w:val="28"/>
        </w:rPr>
        <w:t xml:space="preserve">: </w:t>
      </w:r>
      <w:r w:rsidRPr="00584E13">
        <w:rPr>
          <w:rFonts w:ascii="Tahoma" w:hAnsi="Tahoma" w:cs="Tahoma"/>
          <w:sz w:val="28"/>
          <w:szCs w:val="28"/>
        </w:rPr>
        <w:t xml:space="preserve">Pie Chart Showing Share of First Quarter Actual Recurrent Expenditure Components </w:t>
      </w:r>
      <w:r w:rsidR="006868F3">
        <w:rPr>
          <w:rFonts w:ascii="Tahoma" w:hAnsi="Tahoma" w:cs="Tahoma"/>
          <w:sz w:val="28"/>
          <w:szCs w:val="28"/>
        </w:rPr>
        <w:t>…………………………………………..28</w:t>
      </w:r>
    </w:p>
    <w:p w:rsidR="00866067" w:rsidRDefault="00866067" w:rsidP="00866067">
      <w:pPr>
        <w:pStyle w:val="NoSpacing"/>
        <w:spacing w:line="360" w:lineRule="auto"/>
        <w:rPr>
          <w:rFonts w:ascii="Tahoma" w:hAnsi="Tahoma" w:cs="Tahoma"/>
          <w:sz w:val="28"/>
          <w:szCs w:val="28"/>
        </w:rPr>
      </w:pPr>
      <w:r>
        <w:rPr>
          <w:rFonts w:ascii="Tahoma" w:hAnsi="Tahoma" w:cs="Tahoma"/>
          <w:sz w:val="28"/>
          <w:szCs w:val="28"/>
        </w:rPr>
        <w:t>Figure 3.6:</w:t>
      </w:r>
      <w:r w:rsidRPr="00584E13">
        <w:rPr>
          <w:rFonts w:ascii="Tahoma" w:hAnsi="Tahoma" w:cs="Tahoma"/>
          <w:sz w:val="28"/>
          <w:szCs w:val="28"/>
        </w:rPr>
        <w:t xml:space="preserve"> Bar Chart Showing First Quarter Personnel Cost </w:t>
      </w:r>
      <w:r w:rsidR="006868F3">
        <w:rPr>
          <w:rFonts w:ascii="Tahoma" w:hAnsi="Tahoma" w:cs="Tahoma"/>
          <w:sz w:val="28"/>
          <w:szCs w:val="28"/>
        </w:rPr>
        <w:t>………….29</w:t>
      </w:r>
    </w:p>
    <w:p w:rsidR="00866067" w:rsidRDefault="00866067" w:rsidP="00866067">
      <w:pPr>
        <w:pStyle w:val="NoSpacing"/>
        <w:spacing w:line="360" w:lineRule="auto"/>
        <w:rPr>
          <w:rFonts w:ascii="Tahoma" w:hAnsi="Tahoma" w:cs="Tahoma"/>
          <w:sz w:val="28"/>
          <w:szCs w:val="28"/>
        </w:rPr>
      </w:pPr>
      <w:r>
        <w:rPr>
          <w:rFonts w:ascii="Tahoma" w:hAnsi="Tahoma" w:cs="Tahoma"/>
          <w:sz w:val="28"/>
          <w:szCs w:val="28"/>
        </w:rPr>
        <w:t>Figure 3.7</w:t>
      </w:r>
      <w:r w:rsidRPr="005C418F">
        <w:rPr>
          <w:rFonts w:ascii="Tahoma" w:hAnsi="Tahoma" w:cs="Tahoma"/>
          <w:sz w:val="28"/>
          <w:szCs w:val="28"/>
        </w:rPr>
        <w:t xml:space="preserve">: </w:t>
      </w:r>
      <w:r w:rsidRPr="00044DD2">
        <w:rPr>
          <w:rFonts w:ascii="Tahoma" w:hAnsi="Tahoma" w:cs="Tahoma"/>
          <w:sz w:val="28"/>
          <w:szCs w:val="28"/>
        </w:rPr>
        <w:t xml:space="preserve">Bar Chart Showing First Quarter Overhead Cost </w:t>
      </w:r>
      <w:r w:rsidR="006868F3">
        <w:rPr>
          <w:rFonts w:ascii="Tahoma" w:hAnsi="Tahoma" w:cs="Tahoma"/>
          <w:sz w:val="28"/>
          <w:szCs w:val="28"/>
        </w:rPr>
        <w:t>………….31</w:t>
      </w:r>
    </w:p>
    <w:p w:rsidR="00866067" w:rsidRDefault="00866067" w:rsidP="00866067">
      <w:pPr>
        <w:pStyle w:val="NoSpacing"/>
        <w:spacing w:line="360" w:lineRule="auto"/>
        <w:rPr>
          <w:rFonts w:ascii="Tahoma" w:hAnsi="Tahoma" w:cs="Tahoma"/>
          <w:sz w:val="28"/>
          <w:szCs w:val="28"/>
        </w:rPr>
      </w:pPr>
      <w:r w:rsidRPr="005C418F">
        <w:rPr>
          <w:rFonts w:ascii="Tahoma" w:hAnsi="Tahoma" w:cs="Tahoma"/>
          <w:sz w:val="28"/>
          <w:szCs w:val="28"/>
        </w:rPr>
        <w:t>F</w:t>
      </w:r>
      <w:r>
        <w:rPr>
          <w:rFonts w:ascii="Tahoma" w:hAnsi="Tahoma" w:cs="Tahoma"/>
          <w:sz w:val="28"/>
          <w:szCs w:val="28"/>
        </w:rPr>
        <w:t>igure 3.8:</w:t>
      </w:r>
      <w:r w:rsidRPr="00044DD2">
        <w:rPr>
          <w:rFonts w:ascii="Tahoma" w:hAnsi="Tahoma" w:cs="Tahoma"/>
          <w:sz w:val="28"/>
          <w:szCs w:val="28"/>
        </w:rPr>
        <w:t xml:space="preserve"> Bar Chart Showing First Quarter Special Programme </w:t>
      </w:r>
      <w:r w:rsidR="006868F3">
        <w:rPr>
          <w:rFonts w:ascii="Tahoma" w:hAnsi="Tahoma" w:cs="Tahoma"/>
          <w:sz w:val="28"/>
          <w:szCs w:val="28"/>
        </w:rPr>
        <w:t>……32</w:t>
      </w:r>
    </w:p>
    <w:p w:rsidR="00866067" w:rsidRDefault="00866067" w:rsidP="00866067">
      <w:pPr>
        <w:spacing w:line="360" w:lineRule="auto"/>
        <w:ind w:left="1418" w:hanging="1418"/>
        <w:jc w:val="both"/>
        <w:rPr>
          <w:rFonts w:ascii="Tahoma" w:hAnsi="Tahoma" w:cs="Tahoma"/>
          <w:sz w:val="28"/>
          <w:szCs w:val="24"/>
        </w:rPr>
      </w:pPr>
      <w:r>
        <w:rPr>
          <w:rFonts w:ascii="Tahoma" w:hAnsi="Tahoma" w:cs="Tahoma"/>
          <w:sz w:val="28"/>
          <w:szCs w:val="28"/>
        </w:rPr>
        <w:t xml:space="preserve">Figure 3.9: </w:t>
      </w:r>
      <w:r w:rsidRPr="00044DD2">
        <w:rPr>
          <w:rFonts w:ascii="Tahoma" w:hAnsi="Tahoma" w:cs="Tahoma"/>
          <w:sz w:val="28"/>
          <w:szCs w:val="24"/>
        </w:rPr>
        <w:t>Bar Chart Showing Performa</w:t>
      </w:r>
      <w:r>
        <w:rPr>
          <w:rFonts w:ascii="Tahoma" w:hAnsi="Tahoma" w:cs="Tahoma"/>
          <w:sz w:val="28"/>
          <w:szCs w:val="24"/>
        </w:rPr>
        <w:t>nce of First Quarter</w:t>
      </w:r>
    </w:p>
    <w:p w:rsidR="00866067" w:rsidRPr="00044DD2" w:rsidRDefault="00866067" w:rsidP="00866067">
      <w:pPr>
        <w:spacing w:line="360" w:lineRule="auto"/>
        <w:ind w:left="1418" w:hanging="1418"/>
        <w:jc w:val="both"/>
        <w:rPr>
          <w:rFonts w:ascii="Tahoma" w:hAnsi="Tahoma" w:cs="Tahoma"/>
          <w:sz w:val="28"/>
          <w:szCs w:val="24"/>
        </w:rPr>
      </w:pPr>
      <w:r>
        <w:rPr>
          <w:rFonts w:ascii="Tahoma" w:hAnsi="Tahoma" w:cs="Tahoma"/>
          <w:sz w:val="28"/>
          <w:szCs w:val="24"/>
        </w:rPr>
        <w:t xml:space="preserve">                  Subvention </w:t>
      </w:r>
      <w:r w:rsidRPr="00044DD2">
        <w:rPr>
          <w:rFonts w:ascii="Tahoma" w:hAnsi="Tahoma" w:cs="Tahoma"/>
          <w:sz w:val="28"/>
          <w:szCs w:val="24"/>
        </w:rPr>
        <w:t>to Institutions and Agencies</w:t>
      </w:r>
      <w:r w:rsidR="006868F3">
        <w:rPr>
          <w:rFonts w:ascii="Tahoma" w:hAnsi="Tahoma" w:cs="Tahoma"/>
          <w:sz w:val="28"/>
          <w:szCs w:val="28"/>
        </w:rPr>
        <w:t>…………............33</w:t>
      </w:r>
    </w:p>
    <w:p w:rsidR="00866067" w:rsidRDefault="00866067" w:rsidP="00866067">
      <w:pPr>
        <w:pStyle w:val="NoSpacing"/>
        <w:spacing w:line="360" w:lineRule="auto"/>
        <w:ind w:left="1560" w:hanging="1560"/>
        <w:jc w:val="both"/>
        <w:rPr>
          <w:rFonts w:ascii="Tahoma" w:hAnsi="Tahoma" w:cs="Tahoma"/>
          <w:sz w:val="28"/>
          <w:szCs w:val="24"/>
        </w:rPr>
      </w:pPr>
      <w:r>
        <w:rPr>
          <w:rFonts w:ascii="Tahoma" w:hAnsi="Tahoma" w:cs="Tahoma"/>
          <w:sz w:val="28"/>
          <w:szCs w:val="28"/>
        </w:rPr>
        <w:lastRenderedPageBreak/>
        <w:t>Figure 3.10:</w:t>
      </w:r>
      <w:r w:rsidRPr="00044DD2">
        <w:rPr>
          <w:rFonts w:ascii="Tahoma" w:hAnsi="Tahoma" w:cs="Tahoma"/>
          <w:sz w:val="28"/>
          <w:szCs w:val="28"/>
        </w:rPr>
        <w:t xml:space="preserve"> </w:t>
      </w:r>
      <w:r w:rsidRPr="00044DD2">
        <w:rPr>
          <w:rFonts w:ascii="Tahoma" w:hAnsi="Tahoma" w:cs="Tahoma"/>
          <w:sz w:val="28"/>
          <w:szCs w:val="24"/>
        </w:rPr>
        <w:t>Bar Chart Showing First Quarter Consolida</w:t>
      </w:r>
      <w:r>
        <w:rPr>
          <w:rFonts w:ascii="Tahoma" w:hAnsi="Tahoma" w:cs="Tahoma"/>
          <w:sz w:val="28"/>
          <w:szCs w:val="24"/>
        </w:rPr>
        <w:t>ted Revenue</w:t>
      </w:r>
    </w:p>
    <w:p w:rsidR="00866067" w:rsidRPr="00044DD2" w:rsidRDefault="00866067" w:rsidP="00866067">
      <w:pPr>
        <w:pStyle w:val="NoSpacing"/>
        <w:spacing w:line="360" w:lineRule="auto"/>
        <w:ind w:left="1560" w:hanging="1560"/>
        <w:jc w:val="both"/>
        <w:rPr>
          <w:rFonts w:ascii="Tahoma" w:hAnsi="Tahoma" w:cs="Tahoma"/>
          <w:sz w:val="28"/>
          <w:szCs w:val="24"/>
        </w:rPr>
      </w:pPr>
      <w:r>
        <w:rPr>
          <w:rFonts w:ascii="Tahoma" w:hAnsi="Tahoma" w:cs="Tahoma"/>
          <w:sz w:val="28"/>
          <w:szCs w:val="24"/>
        </w:rPr>
        <w:t xml:space="preserve">                  Fund Charges (CRFC)</w:t>
      </w:r>
      <w:r w:rsidR="006868F3">
        <w:rPr>
          <w:rFonts w:ascii="Tahoma" w:hAnsi="Tahoma" w:cs="Tahoma"/>
          <w:sz w:val="28"/>
          <w:szCs w:val="28"/>
        </w:rPr>
        <w:t>……………………………………………….35</w:t>
      </w:r>
    </w:p>
    <w:p w:rsidR="00866067" w:rsidRDefault="00866067" w:rsidP="00866067">
      <w:pPr>
        <w:spacing w:line="360" w:lineRule="auto"/>
        <w:jc w:val="both"/>
        <w:rPr>
          <w:rFonts w:ascii="Tahoma" w:hAnsi="Tahoma" w:cs="Tahoma"/>
          <w:sz w:val="28"/>
          <w:szCs w:val="24"/>
        </w:rPr>
      </w:pPr>
      <w:r>
        <w:rPr>
          <w:rFonts w:ascii="Tahoma" w:hAnsi="Tahoma" w:cs="Tahoma"/>
          <w:sz w:val="28"/>
          <w:szCs w:val="24"/>
        </w:rPr>
        <w:t>Figure 3.11:</w:t>
      </w:r>
      <w:r w:rsidRPr="00217A20">
        <w:rPr>
          <w:rFonts w:ascii="Tahoma" w:hAnsi="Tahoma" w:cs="Tahoma"/>
          <w:b/>
          <w:sz w:val="28"/>
          <w:szCs w:val="24"/>
        </w:rPr>
        <w:t xml:space="preserve"> </w:t>
      </w:r>
      <w:r w:rsidRPr="00217A20">
        <w:rPr>
          <w:rFonts w:ascii="Tahoma" w:hAnsi="Tahoma" w:cs="Tahoma"/>
          <w:sz w:val="28"/>
          <w:szCs w:val="24"/>
        </w:rPr>
        <w:t>Bar Chart Showing First Quarter Grants/Loan</w:t>
      </w:r>
      <w:r w:rsidR="006868F3">
        <w:rPr>
          <w:rFonts w:ascii="Tahoma" w:hAnsi="Tahoma" w:cs="Tahoma"/>
          <w:sz w:val="28"/>
          <w:szCs w:val="24"/>
        </w:rPr>
        <w:t>......……….36</w:t>
      </w:r>
    </w:p>
    <w:p w:rsidR="00866067" w:rsidRDefault="00866067" w:rsidP="00866067">
      <w:pPr>
        <w:pStyle w:val="NoSpacing"/>
        <w:spacing w:line="360" w:lineRule="auto"/>
        <w:ind w:left="1843" w:hanging="1843"/>
        <w:jc w:val="both"/>
        <w:rPr>
          <w:rFonts w:ascii="Tahoma" w:hAnsi="Tahoma" w:cs="Tahoma"/>
          <w:sz w:val="28"/>
          <w:szCs w:val="28"/>
        </w:rPr>
      </w:pPr>
      <w:r>
        <w:rPr>
          <w:rFonts w:ascii="Tahoma" w:hAnsi="Tahoma" w:cs="Tahoma"/>
          <w:sz w:val="28"/>
          <w:szCs w:val="24"/>
        </w:rPr>
        <w:t xml:space="preserve">Figure 3.12: </w:t>
      </w:r>
      <w:r w:rsidRPr="00217A20">
        <w:rPr>
          <w:rFonts w:ascii="Tahoma" w:hAnsi="Tahoma" w:cs="Tahoma"/>
          <w:sz w:val="28"/>
          <w:szCs w:val="28"/>
        </w:rPr>
        <w:t xml:space="preserve">Bar Chart Showing First Quarter Sectoral </w:t>
      </w:r>
    </w:p>
    <w:p w:rsidR="00866067" w:rsidRPr="00217A20" w:rsidRDefault="00866067" w:rsidP="00866067">
      <w:pPr>
        <w:pStyle w:val="NoSpacing"/>
        <w:spacing w:line="360" w:lineRule="auto"/>
        <w:ind w:left="1843" w:hanging="403"/>
        <w:jc w:val="both"/>
        <w:rPr>
          <w:rFonts w:ascii="Tahoma" w:hAnsi="Tahoma" w:cs="Tahoma"/>
          <w:sz w:val="28"/>
          <w:szCs w:val="28"/>
        </w:rPr>
      </w:pPr>
      <w:r>
        <w:rPr>
          <w:rFonts w:ascii="Tahoma" w:hAnsi="Tahoma" w:cs="Tahoma"/>
          <w:sz w:val="28"/>
          <w:szCs w:val="28"/>
        </w:rPr>
        <w:t xml:space="preserve">  </w:t>
      </w:r>
      <w:r w:rsidRPr="00217A20">
        <w:rPr>
          <w:rFonts w:ascii="Tahoma" w:hAnsi="Tahoma" w:cs="Tahoma"/>
          <w:sz w:val="28"/>
          <w:szCs w:val="28"/>
        </w:rPr>
        <w:t>Recurrent Expenditure</w:t>
      </w:r>
      <w:r>
        <w:rPr>
          <w:rFonts w:ascii="Tahoma" w:hAnsi="Tahoma" w:cs="Tahoma"/>
          <w:sz w:val="28"/>
          <w:szCs w:val="28"/>
        </w:rPr>
        <w:t>……..</w:t>
      </w:r>
      <w:r w:rsidR="006868F3">
        <w:rPr>
          <w:rFonts w:ascii="Tahoma" w:hAnsi="Tahoma" w:cs="Tahoma"/>
          <w:sz w:val="28"/>
          <w:szCs w:val="24"/>
        </w:rPr>
        <w:t>………………………………………38</w:t>
      </w:r>
    </w:p>
    <w:p w:rsidR="00866067" w:rsidRDefault="00866067" w:rsidP="00866067">
      <w:pPr>
        <w:spacing w:after="0" w:line="360" w:lineRule="auto"/>
        <w:jc w:val="both"/>
        <w:rPr>
          <w:rFonts w:ascii="Tahoma" w:hAnsi="Tahoma" w:cs="Tahoma"/>
          <w:sz w:val="28"/>
          <w:szCs w:val="24"/>
        </w:rPr>
      </w:pPr>
      <w:r>
        <w:rPr>
          <w:rFonts w:ascii="Tahoma" w:hAnsi="Tahoma" w:cs="Tahoma"/>
          <w:sz w:val="28"/>
          <w:szCs w:val="24"/>
        </w:rPr>
        <w:t xml:space="preserve">Figure 3.13: </w:t>
      </w:r>
      <w:r w:rsidRPr="00217A20">
        <w:rPr>
          <w:rFonts w:ascii="Tahoma" w:hAnsi="Tahoma" w:cs="Tahoma"/>
          <w:sz w:val="28"/>
          <w:szCs w:val="24"/>
        </w:rPr>
        <w:t xml:space="preserve">Bar Chart Showing First Quarter Statutory Transfers </w:t>
      </w:r>
      <w:r w:rsidR="006868F3">
        <w:rPr>
          <w:rFonts w:ascii="Tahoma" w:hAnsi="Tahoma" w:cs="Tahoma"/>
          <w:sz w:val="28"/>
          <w:szCs w:val="24"/>
        </w:rPr>
        <w:t>….39</w:t>
      </w:r>
    </w:p>
    <w:p w:rsidR="00866067" w:rsidRDefault="00866067" w:rsidP="00866067">
      <w:pPr>
        <w:pStyle w:val="NoSpacing"/>
        <w:spacing w:line="360" w:lineRule="auto"/>
        <w:jc w:val="both"/>
        <w:rPr>
          <w:rFonts w:ascii="Tahoma" w:eastAsiaTheme="minorHAnsi" w:hAnsi="Tahoma" w:cs="Tahoma"/>
          <w:sz w:val="28"/>
          <w:szCs w:val="28"/>
          <w:lang w:val="cy-GB"/>
        </w:rPr>
      </w:pPr>
      <w:r w:rsidRPr="00D94F0E">
        <w:rPr>
          <w:rFonts w:ascii="Tahoma" w:hAnsi="Tahoma" w:cs="Tahoma"/>
          <w:sz w:val="28"/>
          <w:szCs w:val="28"/>
        </w:rPr>
        <w:t>F</w:t>
      </w:r>
      <w:r>
        <w:rPr>
          <w:rFonts w:ascii="Tahoma" w:hAnsi="Tahoma" w:cs="Tahoma"/>
          <w:sz w:val="28"/>
          <w:szCs w:val="28"/>
        </w:rPr>
        <w:t xml:space="preserve">igure 3.14: Bar Chart </w:t>
      </w:r>
      <w:r w:rsidRPr="00217A20">
        <w:rPr>
          <w:rFonts w:ascii="Tahoma" w:hAnsi="Tahoma" w:cs="Tahoma"/>
          <w:sz w:val="28"/>
          <w:szCs w:val="28"/>
        </w:rPr>
        <w:t>First Quarter Sectoral Capital Expenditure</w:t>
      </w:r>
      <w:r w:rsidR="006868F3">
        <w:rPr>
          <w:rFonts w:ascii="Tahoma" w:hAnsi="Tahoma" w:cs="Tahoma"/>
          <w:sz w:val="28"/>
          <w:szCs w:val="28"/>
        </w:rPr>
        <w:t>…...41</w:t>
      </w:r>
    </w:p>
    <w:p w:rsidR="00866067" w:rsidRDefault="00866067" w:rsidP="00866067">
      <w:pPr>
        <w:pStyle w:val="NoSpacing"/>
        <w:spacing w:line="360" w:lineRule="auto"/>
        <w:jc w:val="both"/>
      </w:pPr>
    </w:p>
    <w:p w:rsidR="00866067" w:rsidRDefault="00866067" w:rsidP="00866067">
      <w:pPr>
        <w:jc w:val="center"/>
        <w:rPr>
          <w:rFonts w:ascii="Tahoma" w:eastAsia="Calibri" w:hAnsi="Tahoma" w:cs="Tahoma"/>
          <w:b/>
          <w:sz w:val="28"/>
          <w:szCs w:val="28"/>
        </w:rPr>
      </w:pPr>
    </w:p>
    <w:p w:rsidR="00866067" w:rsidRDefault="00866067" w:rsidP="00866067">
      <w:pPr>
        <w:jc w:val="center"/>
        <w:rPr>
          <w:rFonts w:ascii="Tahoma" w:eastAsia="Calibri" w:hAnsi="Tahoma" w:cs="Tahoma"/>
          <w:b/>
          <w:sz w:val="28"/>
          <w:szCs w:val="28"/>
        </w:rPr>
      </w:pPr>
    </w:p>
    <w:p w:rsidR="00866067" w:rsidRDefault="00866067" w:rsidP="00866067"/>
    <w:p w:rsidR="00866067" w:rsidRDefault="00866067" w:rsidP="00866067">
      <w:pPr>
        <w:jc w:val="center"/>
        <w:rPr>
          <w:rFonts w:ascii="Tahoma" w:eastAsia="Calibri" w:hAnsi="Tahoma" w:cs="Tahoma"/>
          <w:b/>
          <w:sz w:val="28"/>
          <w:szCs w:val="28"/>
        </w:rPr>
      </w:pPr>
    </w:p>
    <w:p w:rsidR="00866067" w:rsidRDefault="00866067" w:rsidP="00866067">
      <w:pPr>
        <w:jc w:val="center"/>
        <w:rPr>
          <w:rFonts w:ascii="Tahoma" w:eastAsia="Calibri" w:hAnsi="Tahoma" w:cs="Tahoma"/>
          <w:b/>
          <w:sz w:val="28"/>
          <w:szCs w:val="28"/>
        </w:rPr>
      </w:pPr>
    </w:p>
    <w:p w:rsidR="00866067" w:rsidRDefault="00866067" w:rsidP="00866067">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866067">
      <w:pP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3C003D" w:rsidRDefault="003C003D" w:rsidP="00866067">
      <w:pPr>
        <w:rPr>
          <w:rFonts w:ascii="Tahoma" w:eastAsia="Calibri" w:hAnsi="Tahoma" w:cs="Tahoma"/>
          <w:b/>
          <w:sz w:val="28"/>
          <w:szCs w:val="28"/>
        </w:rPr>
      </w:pPr>
    </w:p>
    <w:p w:rsidR="003C003D" w:rsidRDefault="003C003D" w:rsidP="00DC24F2">
      <w:pPr>
        <w:jc w:val="center"/>
        <w:rPr>
          <w:rFonts w:ascii="Tahoma" w:eastAsia="Calibri" w:hAnsi="Tahoma" w:cs="Tahoma"/>
          <w:b/>
          <w:sz w:val="28"/>
          <w:szCs w:val="28"/>
        </w:rPr>
      </w:pPr>
    </w:p>
    <w:p w:rsidR="00DC24F2" w:rsidRPr="000A369E" w:rsidRDefault="00DC24F2" w:rsidP="003B2831">
      <w:pPr>
        <w:jc w:val="center"/>
        <w:rPr>
          <w:rFonts w:ascii="Tahoma" w:eastAsia="Calibri" w:hAnsi="Tahoma" w:cs="Tahoma"/>
          <w:b/>
          <w:sz w:val="28"/>
          <w:szCs w:val="28"/>
        </w:rPr>
      </w:pPr>
      <w:r w:rsidRPr="000A369E">
        <w:rPr>
          <w:rFonts w:ascii="Tahoma" w:eastAsia="Calibri" w:hAnsi="Tahoma" w:cs="Tahoma"/>
          <w:b/>
          <w:sz w:val="28"/>
          <w:szCs w:val="28"/>
        </w:rPr>
        <w:t>PREFACE</w:t>
      </w:r>
    </w:p>
    <w:p w:rsidR="00DC24F2" w:rsidRDefault="00DC24F2" w:rsidP="00DC24F2">
      <w:pPr>
        <w:jc w:val="both"/>
        <w:rPr>
          <w:rFonts w:ascii="Tahoma" w:eastAsia="Calibri" w:hAnsi="Tahoma" w:cs="Tahoma"/>
          <w:color w:val="000000"/>
          <w:sz w:val="28"/>
          <w:szCs w:val="28"/>
        </w:rPr>
      </w:pPr>
      <w:r w:rsidRPr="00643FB1">
        <w:rPr>
          <w:rFonts w:ascii="Tahoma" w:hAnsi="Tahoma" w:cs="Tahoma"/>
          <w:sz w:val="28"/>
          <w:szCs w:val="28"/>
          <w:lang w:val="en-GB"/>
        </w:rPr>
        <w:t xml:space="preserve">Budget is a key policy instrument for allocating public resources among competing socio-economic needs by Government. </w:t>
      </w:r>
      <w:r w:rsidRPr="00643FB1">
        <w:rPr>
          <w:rFonts w:ascii="Tahoma" w:eastAsia="Calibri" w:hAnsi="Tahoma" w:cs="Tahoma"/>
          <w:sz w:val="28"/>
          <w:szCs w:val="28"/>
        </w:rPr>
        <w:t>The year 2019 budget themed “</w:t>
      </w:r>
      <w:r w:rsidRPr="00643FB1">
        <w:rPr>
          <w:rFonts w:ascii="Tahoma" w:eastAsia="Calibri" w:hAnsi="Tahoma" w:cs="Tahoma"/>
          <w:b/>
          <w:bCs/>
          <w:sz w:val="28"/>
          <w:szCs w:val="28"/>
        </w:rPr>
        <w:t>Budget of Advancement</w:t>
      </w:r>
      <w:r w:rsidRPr="00643FB1">
        <w:rPr>
          <w:rFonts w:ascii="Tahoma" w:eastAsia="Calibri" w:hAnsi="Tahoma" w:cs="Tahoma"/>
          <w:sz w:val="28"/>
          <w:szCs w:val="28"/>
        </w:rPr>
        <w:t xml:space="preserve">” was prepared to further implement the Arakunrin Oluwarotimi Odunayo Akeredolu-led Administration Strategic Development and Policy Implementation Plan document tagged the </w:t>
      </w:r>
      <w:r w:rsidRPr="00643FB1">
        <w:rPr>
          <w:rFonts w:ascii="Tahoma" w:eastAsia="Calibri" w:hAnsi="Tahoma" w:cs="Tahoma"/>
          <w:b/>
          <w:iCs/>
          <w:sz w:val="28"/>
          <w:szCs w:val="28"/>
        </w:rPr>
        <w:t xml:space="preserve">Blueprint to Progress </w:t>
      </w:r>
    </w:p>
    <w:p w:rsidR="00DC24F2" w:rsidRPr="00A567EA" w:rsidRDefault="00DC24F2" w:rsidP="00DC24F2">
      <w:pPr>
        <w:jc w:val="both"/>
        <w:rPr>
          <w:rFonts w:ascii="Tahoma" w:eastAsia="Calibri" w:hAnsi="Tahoma" w:cs="Tahoma"/>
          <w:color w:val="000000"/>
          <w:sz w:val="28"/>
          <w:szCs w:val="28"/>
        </w:rPr>
      </w:pPr>
      <w:r w:rsidRPr="00643FB1">
        <w:rPr>
          <w:rFonts w:ascii="Tahoma" w:hAnsi="Tahoma" w:cs="Tahoma"/>
          <w:sz w:val="27"/>
          <w:szCs w:val="27"/>
          <w:lang w:val="en-GB"/>
        </w:rPr>
        <w:t>The Fis</w:t>
      </w:r>
      <w:r>
        <w:rPr>
          <w:rFonts w:ascii="Tahoma" w:hAnsi="Tahoma" w:cs="Tahoma"/>
          <w:sz w:val="27"/>
          <w:szCs w:val="27"/>
          <w:lang w:val="en-GB"/>
        </w:rPr>
        <w:t>cal Responsibility Law (FRL) 201</w:t>
      </w:r>
      <w:r w:rsidRPr="00643FB1">
        <w:rPr>
          <w:rFonts w:ascii="Tahoma" w:hAnsi="Tahoma" w:cs="Tahoma"/>
          <w:sz w:val="27"/>
          <w:szCs w:val="27"/>
          <w:lang w:val="en-GB"/>
        </w:rPr>
        <w:t>7 mandates the Ministry of Economic Planning and Budget (MEP&amp;B) to monitor and evaluate the implementation of annual budgets and to produce periodic reports thereof.</w:t>
      </w:r>
    </w:p>
    <w:p w:rsidR="00DC24F2" w:rsidRPr="00643FB1" w:rsidRDefault="00DC24F2" w:rsidP="00DC24F2">
      <w:pPr>
        <w:autoSpaceDE w:val="0"/>
        <w:autoSpaceDN w:val="0"/>
        <w:adjustRightInd w:val="0"/>
        <w:spacing w:after="0"/>
        <w:jc w:val="both"/>
        <w:rPr>
          <w:rFonts w:ascii="Tahoma" w:hAnsi="Tahoma" w:cs="Tahoma"/>
          <w:sz w:val="27"/>
          <w:szCs w:val="27"/>
          <w:lang w:val="en-GB"/>
        </w:rPr>
      </w:pPr>
      <w:r>
        <w:rPr>
          <w:rFonts w:ascii="Tahoma" w:hAnsi="Tahoma" w:cs="Tahoma"/>
          <w:sz w:val="27"/>
          <w:szCs w:val="27"/>
          <w:lang w:val="en-GB"/>
        </w:rPr>
        <w:t>This 2019 First Q</w:t>
      </w:r>
      <w:r w:rsidRPr="00643FB1">
        <w:rPr>
          <w:rFonts w:ascii="Tahoma" w:hAnsi="Tahoma" w:cs="Tahoma"/>
          <w:sz w:val="27"/>
          <w:szCs w:val="27"/>
          <w:lang w:val="en-GB"/>
        </w:rPr>
        <w:t>uarter Bu</w:t>
      </w:r>
      <w:r>
        <w:rPr>
          <w:rFonts w:ascii="Tahoma" w:hAnsi="Tahoma" w:cs="Tahoma"/>
          <w:sz w:val="27"/>
          <w:szCs w:val="27"/>
          <w:lang w:val="en-GB"/>
        </w:rPr>
        <w:t>dget Implementation Report</w:t>
      </w:r>
      <w:r w:rsidRPr="00643FB1">
        <w:rPr>
          <w:rFonts w:ascii="Tahoma" w:hAnsi="Tahoma" w:cs="Tahoma"/>
          <w:sz w:val="27"/>
          <w:szCs w:val="27"/>
          <w:lang w:val="en-GB"/>
        </w:rPr>
        <w:t xml:space="preserve"> is one of the in-year reports to be prepared by the MEP&amp;B, and complement the Full-Year Budget Implementation Report. They are part of the efforts of the Ministry to </w:t>
      </w:r>
      <w:r>
        <w:rPr>
          <w:rFonts w:ascii="Tahoma" w:hAnsi="Tahoma" w:cs="Tahoma"/>
          <w:sz w:val="27"/>
          <w:szCs w:val="27"/>
          <w:lang w:val="en-GB"/>
        </w:rPr>
        <w:t>comply with the FRL 201</w:t>
      </w:r>
      <w:r w:rsidRPr="00643FB1">
        <w:rPr>
          <w:rFonts w:ascii="Tahoma" w:hAnsi="Tahoma" w:cs="Tahoma"/>
          <w:sz w:val="27"/>
          <w:szCs w:val="27"/>
          <w:lang w:val="en-GB"/>
        </w:rPr>
        <w:t>7 and more importantly to promote budget transparency and credibility as a key component of the State’s commitment to the Open Government Partnership.</w:t>
      </w:r>
    </w:p>
    <w:p w:rsidR="00DC24F2" w:rsidRPr="00643FB1" w:rsidRDefault="00DC24F2" w:rsidP="00DC24F2">
      <w:pPr>
        <w:jc w:val="both"/>
        <w:rPr>
          <w:rFonts w:ascii="Calibri" w:eastAsia="Calibri" w:hAnsi="Calibri" w:cs="Times New Roman"/>
          <w:sz w:val="28"/>
          <w:szCs w:val="28"/>
        </w:rPr>
      </w:pPr>
      <w:r w:rsidRPr="00643FB1">
        <w:rPr>
          <w:rFonts w:ascii="Tahoma" w:eastAsia="Calibri" w:hAnsi="Tahoma" w:cs="Tahoma"/>
          <w:sz w:val="28"/>
          <w:szCs w:val="28"/>
        </w:rPr>
        <w:t>This Appraisal, therefore,</w:t>
      </w:r>
      <w:r>
        <w:rPr>
          <w:rFonts w:ascii="Arial" w:hAnsi="Arial" w:cs="Arial"/>
          <w:sz w:val="28"/>
          <w:szCs w:val="28"/>
          <w:lang w:val="en-GB"/>
        </w:rPr>
        <w:t xml:space="preserve"> provides information on the utilization of budgetary resources by Government Agencies during the first quarter of the 2019 fiscal year</w:t>
      </w:r>
      <w:r>
        <w:rPr>
          <w:rFonts w:ascii="Calibri" w:eastAsia="Calibri" w:hAnsi="Calibri" w:cs="Times New Roman"/>
          <w:sz w:val="28"/>
          <w:szCs w:val="28"/>
        </w:rPr>
        <w:t xml:space="preserve">. </w:t>
      </w:r>
      <w:r w:rsidRPr="00643FB1">
        <w:rPr>
          <w:rFonts w:ascii="Tahoma" w:eastAsia="Calibri" w:hAnsi="Tahoma" w:cs="Tahoma"/>
          <w:sz w:val="28"/>
          <w:szCs w:val="28"/>
        </w:rPr>
        <w:t>Also, it identifies gaps, provides lessons, highlights significant accomplishments, and offers recommendations for improvement.</w:t>
      </w:r>
    </w:p>
    <w:p w:rsidR="00DC24F2" w:rsidRPr="00643FB1" w:rsidRDefault="00DC24F2" w:rsidP="00DC24F2">
      <w:pPr>
        <w:jc w:val="both"/>
        <w:rPr>
          <w:rFonts w:ascii="Tahoma" w:eastAsia="Calibri" w:hAnsi="Tahoma" w:cs="Tahoma"/>
          <w:sz w:val="28"/>
          <w:szCs w:val="28"/>
        </w:rPr>
      </w:pPr>
      <w:r w:rsidRPr="00643FB1">
        <w:rPr>
          <w:rFonts w:ascii="Tahoma" w:eastAsia="Calibri" w:hAnsi="Tahoma" w:cs="Tahoma"/>
          <w:sz w:val="28"/>
          <w:szCs w:val="28"/>
        </w:rPr>
        <w:t xml:space="preserve">The publication of this report is principally in fulfillment of Section 39(3) of the Ondo State Fiscal Responsibility Law, (FRL), 2017. </w:t>
      </w:r>
      <w:r w:rsidRPr="00643FB1">
        <w:rPr>
          <w:rFonts w:ascii="Tahoma" w:eastAsia="Calibri" w:hAnsi="Tahoma" w:cs="Tahoma"/>
          <w:sz w:val="28"/>
          <w:szCs w:val="28"/>
          <w:lang w:val="en-GB"/>
        </w:rPr>
        <w:t>We therefore, urge the general public and readers of this report to maintain active interest in tracking progress towards attainment of Government’s goals and objectives especially government’s management of public resources. We look forward to your active participation in the entire budget process.</w:t>
      </w:r>
    </w:p>
    <w:p w:rsidR="00DC24F2" w:rsidRPr="00643FB1" w:rsidRDefault="00DC24F2" w:rsidP="00DC24F2">
      <w:pPr>
        <w:ind w:left="3600"/>
        <w:contextualSpacing/>
        <w:jc w:val="both"/>
        <w:rPr>
          <w:rFonts w:ascii="Tahoma" w:eastAsia="Calibri" w:hAnsi="Tahoma" w:cs="Tahoma"/>
          <w:sz w:val="28"/>
          <w:szCs w:val="28"/>
        </w:rPr>
      </w:pPr>
    </w:p>
    <w:p w:rsidR="00DC24F2" w:rsidRPr="00643FB1" w:rsidRDefault="00DC24F2" w:rsidP="00DC24F2">
      <w:pPr>
        <w:ind w:left="3600"/>
        <w:contextualSpacing/>
        <w:jc w:val="both"/>
        <w:rPr>
          <w:rFonts w:ascii="Tahoma" w:eastAsia="Calibri" w:hAnsi="Tahoma" w:cs="Tahoma"/>
          <w:sz w:val="28"/>
          <w:szCs w:val="28"/>
        </w:rPr>
      </w:pPr>
    </w:p>
    <w:p w:rsidR="00DC24F2" w:rsidRPr="00643FB1" w:rsidRDefault="00DC24F2" w:rsidP="00DC24F2">
      <w:pPr>
        <w:ind w:left="3600"/>
        <w:contextualSpacing/>
        <w:jc w:val="both"/>
        <w:rPr>
          <w:rFonts w:ascii="Tahoma" w:eastAsia="Calibri" w:hAnsi="Tahoma" w:cs="Tahoma"/>
          <w:sz w:val="28"/>
          <w:szCs w:val="28"/>
        </w:rPr>
      </w:pPr>
      <w:r w:rsidRPr="00643FB1">
        <w:rPr>
          <w:rFonts w:ascii="Tahoma" w:eastAsia="Calibri" w:hAnsi="Tahoma" w:cs="Tahoma"/>
          <w:sz w:val="28"/>
          <w:szCs w:val="28"/>
        </w:rPr>
        <w:t>Department of Monitoring and Evaluation,</w:t>
      </w:r>
    </w:p>
    <w:p w:rsidR="00DC24F2" w:rsidRPr="00643FB1" w:rsidRDefault="00DC24F2" w:rsidP="00DC24F2">
      <w:pPr>
        <w:ind w:left="3600"/>
        <w:contextualSpacing/>
        <w:jc w:val="both"/>
        <w:rPr>
          <w:rFonts w:ascii="Tahoma" w:eastAsia="Calibri" w:hAnsi="Tahoma" w:cs="Tahoma"/>
          <w:sz w:val="28"/>
          <w:szCs w:val="28"/>
        </w:rPr>
      </w:pPr>
      <w:r w:rsidRPr="00643FB1">
        <w:rPr>
          <w:rFonts w:ascii="Tahoma" w:eastAsia="Calibri" w:hAnsi="Tahoma" w:cs="Tahoma"/>
          <w:sz w:val="28"/>
          <w:szCs w:val="28"/>
        </w:rPr>
        <w:t>Ministry of Economic Planning and Budget,</w:t>
      </w:r>
    </w:p>
    <w:p w:rsidR="00DC24F2" w:rsidRPr="003042CE" w:rsidRDefault="00DC24F2" w:rsidP="00DC24F2">
      <w:pPr>
        <w:ind w:left="3600"/>
        <w:contextualSpacing/>
        <w:jc w:val="both"/>
        <w:rPr>
          <w:rFonts w:ascii="Tahoma" w:eastAsia="Calibri" w:hAnsi="Tahoma" w:cs="Tahoma"/>
          <w:sz w:val="28"/>
          <w:szCs w:val="28"/>
        </w:rPr>
      </w:pPr>
      <w:r w:rsidRPr="00643FB1">
        <w:rPr>
          <w:rFonts w:ascii="Tahoma" w:eastAsia="Calibri" w:hAnsi="Tahoma" w:cs="Tahoma"/>
          <w:sz w:val="28"/>
          <w:szCs w:val="28"/>
        </w:rPr>
        <w:t>Alagbaka, Akure.</w:t>
      </w:r>
    </w:p>
    <w:p w:rsidR="00DC24F2" w:rsidRDefault="00DC24F2" w:rsidP="00DC24F2">
      <w:pPr>
        <w:pStyle w:val="NoSpacing"/>
        <w:spacing w:line="480" w:lineRule="auto"/>
        <w:jc w:val="center"/>
        <w:rPr>
          <w:rFonts w:ascii="Tahoma" w:hAnsi="Tahoma" w:cs="Tahoma"/>
          <w:b/>
          <w:sz w:val="28"/>
          <w:szCs w:val="28"/>
        </w:rPr>
      </w:pPr>
    </w:p>
    <w:p w:rsidR="00DC24F2" w:rsidRPr="009E5878" w:rsidRDefault="00DC24F2" w:rsidP="00DC24F2">
      <w:pPr>
        <w:pStyle w:val="NoSpacing"/>
        <w:spacing w:line="480" w:lineRule="auto"/>
        <w:jc w:val="center"/>
        <w:rPr>
          <w:rFonts w:ascii="Tahoma" w:hAnsi="Tahoma" w:cs="Tahoma"/>
          <w:b/>
          <w:sz w:val="28"/>
          <w:szCs w:val="28"/>
        </w:rPr>
      </w:pPr>
      <w:r w:rsidRPr="009E5878">
        <w:rPr>
          <w:rFonts w:ascii="Tahoma" w:hAnsi="Tahoma" w:cs="Tahoma"/>
          <w:b/>
          <w:sz w:val="28"/>
          <w:szCs w:val="28"/>
        </w:rPr>
        <w:t>EXECUTIVE SUMMARY</w:t>
      </w:r>
    </w:p>
    <w:p w:rsidR="00DC24F2" w:rsidRPr="00A11874" w:rsidRDefault="00DC24F2" w:rsidP="00DC24F2">
      <w:pPr>
        <w:pStyle w:val="NoSpacing"/>
        <w:spacing w:line="480" w:lineRule="auto"/>
        <w:jc w:val="both"/>
      </w:pPr>
      <w:r>
        <w:rPr>
          <w:rFonts w:ascii="Tahoma" w:hAnsi="Tahoma" w:cs="Tahoma"/>
          <w:sz w:val="28"/>
          <w:szCs w:val="28"/>
        </w:rPr>
        <w:t>The 2019</w:t>
      </w:r>
      <w:r w:rsidRPr="009E5878">
        <w:rPr>
          <w:rFonts w:ascii="Tahoma" w:hAnsi="Tahoma" w:cs="Tahoma"/>
          <w:sz w:val="28"/>
          <w:szCs w:val="28"/>
        </w:rPr>
        <w:t xml:space="preserve"> Budget </w:t>
      </w:r>
      <w:r>
        <w:rPr>
          <w:rFonts w:ascii="Tahoma" w:hAnsi="Tahoma" w:cs="Tahoma"/>
          <w:sz w:val="28"/>
          <w:szCs w:val="28"/>
        </w:rPr>
        <w:t>themed “</w:t>
      </w:r>
      <w:r w:rsidRPr="00F81A81">
        <w:rPr>
          <w:rFonts w:ascii="Tahoma" w:hAnsi="Tahoma" w:cs="Tahoma"/>
          <w:b/>
          <w:sz w:val="28"/>
          <w:szCs w:val="28"/>
        </w:rPr>
        <w:t>Budget of Advancement</w:t>
      </w:r>
      <w:r>
        <w:rPr>
          <w:rFonts w:ascii="Tahoma" w:hAnsi="Tahoma" w:cs="Tahoma"/>
          <w:sz w:val="28"/>
          <w:szCs w:val="28"/>
        </w:rPr>
        <w:t xml:space="preserve">” </w:t>
      </w:r>
      <w:r>
        <w:rPr>
          <w:rFonts w:ascii="ArialMT" w:hAnsi="ArialMT" w:cs="ArialMT"/>
          <w:sz w:val="28"/>
          <w:szCs w:val="28"/>
        </w:rPr>
        <w:t>was designed to</w:t>
      </w:r>
      <w:r>
        <w:rPr>
          <w:rFonts w:ascii="Tahoma" w:eastAsia="Tahoma" w:hAnsi="Tahoma" w:cs="Tahoma"/>
          <w:color w:val="000000"/>
          <w:sz w:val="28"/>
          <w:szCs w:val="28"/>
        </w:rPr>
        <w:t xml:space="preserve"> provide</w:t>
      </w:r>
      <w:r w:rsidRPr="00105F3B">
        <w:rPr>
          <w:rFonts w:ascii="Tahoma" w:hAnsi="Tahoma" w:cs="Tahoma"/>
          <w:sz w:val="28"/>
          <w:szCs w:val="28"/>
        </w:rPr>
        <w:t xml:space="preserve"> roadmap for rapid economic growth, maintain fiscal discipline, create wealth and empowerment, encourage self-reliance and develop a knowledge-based economy.</w:t>
      </w:r>
      <w:r>
        <w:rPr>
          <w:rFonts w:ascii="Tahoma" w:hAnsi="Tahoma" w:cs="Tahoma"/>
          <w:sz w:val="26"/>
          <w:szCs w:val="28"/>
        </w:rPr>
        <w:t xml:space="preserve"> </w:t>
      </w:r>
    </w:p>
    <w:p w:rsidR="00DC24F2" w:rsidRDefault="00DC24F2" w:rsidP="00DC24F2">
      <w:pPr>
        <w:pStyle w:val="NoSpacing"/>
        <w:spacing w:before="240" w:after="240" w:line="480" w:lineRule="auto"/>
        <w:jc w:val="both"/>
        <w:rPr>
          <w:rFonts w:ascii="Tahoma" w:hAnsi="Tahoma" w:cs="Tahoma"/>
          <w:sz w:val="28"/>
          <w:szCs w:val="28"/>
        </w:rPr>
      </w:pPr>
      <w:r>
        <w:rPr>
          <w:rFonts w:ascii="Tahoma" w:hAnsi="Tahoma" w:cs="Tahoma"/>
          <w:sz w:val="28"/>
          <w:szCs w:val="28"/>
        </w:rPr>
        <w:t xml:space="preserve">The State approved a total budget of </w:t>
      </w:r>
      <w:r w:rsidRPr="009E5878">
        <w:rPr>
          <w:rFonts w:ascii="Tahoma" w:hAnsi="Tahoma" w:cs="Tahoma"/>
          <w:dstrike/>
          <w:sz w:val="28"/>
          <w:szCs w:val="28"/>
        </w:rPr>
        <w:t>N</w:t>
      </w:r>
      <w:r>
        <w:rPr>
          <w:rFonts w:ascii="Tahoma" w:hAnsi="Tahoma" w:cs="Tahoma"/>
          <w:sz w:val="28"/>
          <w:szCs w:val="28"/>
        </w:rPr>
        <w:t xml:space="preserve">193.903 billion in 2019. The budget is broken into </w:t>
      </w:r>
      <w:r w:rsidRPr="003042CE">
        <w:rPr>
          <w:rFonts w:ascii="Tahoma" w:hAnsi="Tahoma" w:cs="Tahoma"/>
          <w:dstrike/>
          <w:sz w:val="28"/>
          <w:szCs w:val="28"/>
        </w:rPr>
        <w:t>N</w:t>
      </w:r>
      <w:r>
        <w:rPr>
          <w:rFonts w:ascii="Tahoma" w:hAnsi="Tahoma" w:cs="Tahoma"/>
          <w:sz w:val="28"/>
          <w:szCs w:val="28"/>
        </w:rPr>
        <w:t>10.369 billion for Debt Repayment,</w:t>
      </w:r>
      <w:r w:rsidRPr="003042CE">
        <w:rPr>
          <w:rFonts w:ascii="Tahoma" w:hAnsi="Tahoma" w:cs="Tahoma"/>
          <w:sz w:val="28"/>
          <w:szCs w:val="28"/>
        </w:rPr>
        <w:t xml:space="preserve"> </w:t>
      </w:r>
      <w:r>
        <w:rPr>
          <w:rFonts w:ascii="Tahoma" w:hAnsi="Tahoma" w:cs="Tahoma"/>
          <w:sz w:val="28"/>
          <w:szCs w:val="28"/>
        </w:rPr>
        <w:t xml:space="preserve">Statutory Transfers </w:t>
      </w:r>
      <w:r w:rsidRPr="003042CE">
        <w:rPr>
          <w:rFonts w:ascii="Tahoma" w:hAnsi="Tahoma" w:cs="Tahoma"/>
          <w:dstrike/>
          <w:sz w:val="28"/>
          <w:szCs w:val="28"/>
        </w:rPr>
        <w:t>N</w:t>
      </w:r>
      <w:r>
        <w:rPr>
          <w:rFonts w:ascii="Tahoma" w:hAnsi="Tahoma" w:cs="Tahoma"/>
          <w:sz w:val="28"/>
          <w:szCs w:val="28"/>
        </w:rPr>
        <w:t>9.568 billion,</w:t>
      </w:r>
      <w:r w:rsidRPr="003042CE">
        <w:rPr>
          <w:rFonts w:ascii="Tahoma" w:hAnsi="Tahoma" w:cs="Tahoma"/>
          <w:sz w:val="28"/>
          <w:szCs w:val="28"/>
        </w:rPr>
        <w:t xml:space="preserve"> </w:t>
      </w:r>
      <w:r>
        <w:rPr>
          <w:rFonts w:ascii="Tahoma" w:hAnsi="Tahoma" w:cs="Tahoma"/>
          <w:sz w:val="28"/>
          <w:szCs w:val="28"/>
        </w:rPr>
        <w:t xml:space="preserve">Recurrent Expenditure </w:t>
      </w:r>
      <w:r w:rsidRPr="003042CE">
        <w:rPr>
          <w:rFonts w:ascii="Tahoma" w:hAnsi="Tahoma" w:cs="Tahoma"/>
          <w:dstrike/>
          <w:sz w:val="28"/>
          <w:szCs w:val="28"/>
        </w:rPr>
        <w:t>N</w:t>
      </w:r>
      <w:r>
        <w:rPr>
          <w:rFonts w:ascii="Tahoma" w:hAnsi="Tahoma" w:cs="Tahoma"/>
          <w:sz w:val="28"/>
          <w:szCs w:val="28"/>
        </w:rPr>
        <w:t xml:space="preserve">83.852 billion and </w:t>
      </w:r>
      <w:r w:rsidRPr="003042CE">
        <w:rPr>
          <w:rFonts w:ascii="Tahoma" w:hAnsi="Tahoma" w:cs="Tahoma"/>
          <w:dstrike/>
          <w:sz w:val="28"/>
          <w:szCs w:val="28"/>
        </w:rPr>
        <w:t>N</w:t>
      </w:r>
      <w:r>
        <w:rPr>
          <w:rFonts w:ascii="Tahoma" w:hAnsi="Tahoma" w:cs="Tahoma"/>
          <w:sz w:val="28"/>
          <w:szCs w:val="28"/>
        </w:rPr>
        <w:t>90.113 billion for Capital Expenditure.</w:t>
      </w:r>
    </w:p>
    <w:p w:rsidR="00DC24F2" w:rsidRDefault="00DC24F2" w:rsidP="00DC24F2">
      <w:pPr>
        <w:pStyle w:val="NoSpacing"/>
        <w:spacing w:before="240" w:after="240" w:line="480" w:lineRule="auto"/>
        <w:jc w:val="both"/>
        <w:rPr>
          <w:rFonts w:ascii="Tahoma" w:hAnsi="Tahoma" w:cs="Tahoma"/>
          <w:sz w:val="28"/>
          <w:szCs w:val="28"/>
        </w:rPr>
      </w:pPr>
      <w:r w:rsidRPr="009E5878">
        <w:rPr>
          <w:rFonts w:ascii="Tahoma" w:hAnsi="Tahoma" w:cs="Tahoma"/>
          <w:sz w:val="28"/>
          <w:szCs w:val="28"/>
        </w:rPr>
        <w:t xml:space="preserve">The revenue side of the budget for the </w:t>
      </w:r>
      <w:r>
        <w:rPr>
          <w:rFonts w:ascii="Tahoma" w:hAnsi="Tahoma" w:cs="Tahoma"/>
          <w:sz w:val="28"/>
          <w:szCs w:val="28"/>
        </w:rPr>
        <w:t>first</w:t>
      </w:r>
      <w:r w:rsidRPr="009E5878">
        <w:rPr>
          <w:rFonts w:ascii="Tahoma" w:hAnsi="Tahoma" w:cs="Tahoma"/>
          <w:sz w:val="28"/>
          <w:szCs w:val="28"/>
        </w:rPr>
        <w:t xml:space="preserve"> quarter</w:t>
      </w:r>
      <w:r>
        <w:rPr>
          <w:rFonts w:ascii="Tahoma" w:hAnsi="Tahoma" w:cs="Tahoma"/>
          <w:sz w:val="28"/>
          <w:szCs w:val="28"/>
        </w:rPr>
        <w:t xml:space="preserve"> recorded</w:t>
      </w:r>
      <w:r w:rsidRPr="009E5878">
        <w:rPr>
          <w:rFonts w:ascii="Tahoma" w:hAnsi="Tahoma" w:cs="Tahoma"/>
          <w:sz w:val="28"/>
          <w:szCs w:val="28"/>
        </w:rPr>
        <w:t xml:space="preserve"> total receipt</w:t>
      </w:r>
      <w:r>
        <w:rPr>
          <w:rFonts w:ascii="Tahoma" w:hAnsi="Tahoma" w:cs="Tahoma"/>
          <w:sz w:val="28"/>
          <w:szCs w:val="28"/>
        </w:rPr>
        <w:t>s</w:t>
      </w:r>
      <w:r w:rsidRPr="009E5878">
        <w:rPr>
          <w:rFonts w:ascii="Tahoma" w:hAnsi="Tahoma" w:cs="Tahoma"/>
          <w:sz w:val="28"/>
          <w:szCs w:val="28"/>
        </w:rPr>
        <w:t xml:space="preserve"> of </w:t>
      </w:r>
      <w:r w:rsidRPr="009E5878">
        <w:rPr>
          <w:rFonts w:ascii="Tahoma" w:hAnsi="Tahoma" w:cs="Tahoma"/>
          <w:dstrike/>
          <w:sz w:val="28"/>
          <w:szCs w:val="28"/>
        </w:rPr>
        <w:t>N</w:t>
      </w:r>
      <w:r>
        <w:rPr>
          <w:rFonts w:ascii="Tahoma" w:hAnsi="Tahoma" w:cs="Tahoma"/>
          <w:sz w:val="28"/>
          <w:szCs w:val="28"/>
        </w:rPr>
        <w:t xml:space="preserve">23.722 billion against proposed target of </w:t>
      </w:r>
      <w:r w:rsidRPr="009E5878">
        <w:rPr>
          <w:rFonts w:ascii="Tahoma" w:hAnsi="Tahoma" w:cs="Tahoma"/>
          <w:dstrike/>
          <w:sz w:val="28"/>
          <w:szCs w:val="28"/>
        </w:rPr>
        <w:t>N</w:t>
      </w:r>
      <w:r>
        <w:rPr>
          <w:rFonts w:ascii="Tahoma" w:hAnsi="Tahoma" w:cs="Tahoma"/>
          <w:sz w:val="28"/>
          <w:szCs w:val="28"/>
        </w:rPr>
        <w:t xml:space="preserve">48.476 billion, representing 48.9% performance level for the quarter while the corresponding 2018 first quarter actual of </w:t>
      </w:r>
      <w:r w:rsidRPr="009E5878">
        <w:rPr>
          <w:rFonts w:ascii="Tahoma" w:hAnsi="Tahoma" w:cs="Tahoma"/>
          <w:dstrike/>
          <w:sz w:val="28"/>
          <w:szCs w:val="28"/>
        </w:rPr>
        <w:t>N</w:t>
      </w:r>
      <w:r>
        <w:rPr>
          <w:rFonts w:ascii="Tahoma" w:hAnsi="Tahoma" w:cs="Tahoma"/>
          <w:sz w:val="28"/>
          <w:szCs w:val="28"/>
        </w:rPr>
        <w:t>21.226 billion recorded a performance of 46.8%.</w:t>
      </w:r>
      <w:r w:rsidRPr="009E5878">
        <w:rPr>
          <w:rFonts w:ascii="Tahoma" w:hAnsi="Tahoma" w:cs="Tahoma"/>
          <w:sz w:val="28"/>
          <w:szCs w:val="28"/>
        </w:rPr>
        <w:t xml:space="preserve"> </w:t>
      </w:r>
      <w:r>
        <w:rPr>
          <w:rFonts w:ascii="Tahoma" w:hAnsi="Tahoma" w:cs="Tahoma"/>
          <w:sz w:val="28"/>
          <w:szCs w:val="28"/>
        </w:rPr>
        <w:t xml:space="preserve">The breakdown of the the 2019 first quarter revenue </w:t>
      </w:r>
      <w:r w:rsidRPr="009E5878">
        <w:rPr>
          <w:rFonts w:ascii="Tahoma" w:hAnsi="Tahoma" w:cs="Tahoma"/>
          <w:sz w:val="28"/>
          <w:szCs w:val="28"/>
        </w:rPr>
        <w:t xml:space="preserve">showed Internally Generated Revenue (IGR) as </w:t>
      </w:r>
      <w:r w:rsidRPr="009E5878">
        <w:rPr>
          <w:rFonts w:ascii="Tahoma" w:hAnsi="Tahoma" w:cs="Tahoma"/>
          <w:dstrike/>
          <w:sz w:val="28"/>
          <w:szCs w:val="28"/>
        </w:rPr>
        <w:t>N</w:t>
      </w:r>
      <w:r>
        <w:rPr>
          <w:rFonts w:ascii="Tahoma" w:hAnsi="Tahoma" w:cs="Tahoma"/>
          <w:sz w:val="28"/>
          <w:szCs w:val="28"/>
        </w:rPr>
        <w:t>3.436 b</w:t>
      </w:r>
      <w:r w:rsidRPr="009E5878">
        <w:rPr>
          <w:rFonts w:ascii="Tahoma" w:hAnsi="Tahoma" w:cs="Tahoma"/>
          <w:sz w:val="28"/>
          <w:szCs w:val="28"/>
        </w:rPr>
        <w:t>illion</w:t>
      </w:r>
      <w:r>
        <w:rPr>
          <w:rFonts w:ascii="Tahoma" w:hAnsi="Tahoma" w:cs="Tahoma"/>
          <w:sz w:val="28"/>
          <w:szCs w:val="28"/>
        </w:rPr>
        <w:t>. R</w:t>
      </w:r>
      <w:r w:rsidRPr="009E5878">
        <w:rPr>
          <w:rFonts w:ascii="Tahoma" w:hAnsi="Tahoma" w:cs="Tahoma"/>
          <w:sz w:val="28"/>
          <w:szCs w:val="28"/>
        </w:rPr>
        <w:t>evenue</w:t>
      </w:r>
      <w:r>
        <w:rPr>
          <w:rFonts w:ascii="Tahoma" w:hAnsi="Tahoma" w:cs="Tahoma"/>
          <w:sz w:val="28"/>
          <w:szCs w:val="28"/>
        </w:rPr>
        <w:t xml:space="preserve"> from the Federation Account recorded </w:t>
      </w:r>
      <w:r w:rsidRPr="009E5878">
        <w:rPr>
          <w:rFonts w:ascii="Tahoma" w:hAnsi="Tahoma" w:cs="Tahoma"/>
          <w:dstrike/>
          <w:sz w:val="28"/>
          <w:szCs w:val="28"/>
        </w:rPr>
        <w:t>N</w:t>
      </w:r>
      <w:r>
        <w:rPr>
          <w:rFonts w:ascii="Tahoma" w:hAnsi="Tahoma" w:cs="Tahoma"/>
          <w:sz w:val="28"/>
          <w:szCs w:val="28"/>
        </w:rPr>
        <w:t>16.151 billion while revenue from O</w:t>
      </w:r>
      <w:r w:rsidRPr="009E5878">
        <w:rPr>
          <w:rFonts w:ascii="Tahoma" w:hAnsi="Tahoma" w:cs="Tahoma"/>
          <w:sz w:val="28"/>
          <w:szCs w:val="28"/>
        </w:rPr>
        <w:t>ther</w:t>
      </w:r>
      <w:r>
        <w:rPr>
          <w:rFonts w:ascii="Tahoma" w:hAnsi="Tahoma" w:cs="Tahoma"/>
          <w:sz w:val="28"/>
          <w:szCs w:val="28"/>
        </w:rPr>
        <w:t xml:space="preserve"> </w:t>
      </w:r>
      <w:r w:rsidRPr="009E5878">
        <w:rPr>
          <w:rFonts w:ascii="Tahoma" w:hAnsi="Tahoma" w:cs="Tahoma"/>
          <w:sz w:val="28"/>
          <w:szCs w:val="28"/>
        </w:rPr>
        <w:t>sources</w:t>
      </w:r>
      <w:r>
        <w:rPr>
          <w:rFonts w:ascii="Tahoma" w:hAnsi="Tahoma" w:cs="Tahoma"/>
          <w:sz w:val="28"/>
          <w:szCs w:val="28"/>
        </w:rPr>
        <w:t xml:space="preserve"> was </w:t>
      </w:r>
      <w:r w:rsidRPr="009E5878">
        <w:rPr>
          <w:rFonts w:ascii="Tahoma" w:hAnsi="Tahoma" w:cs="Tahoma"/>
          <w:dstrike/>
          <w:sz w:val="28"/>
          <w:szCs w:val="28"/>
        </w:rPr>
        <w:t>N</w:t>
      </w:r>
      <w:r>
        <w:rPr>
          <w:rFonts w:ascii="Tahoma" w:hAnsi="Tahoma" w:cs="Tahoma"/>
          <w:sz w:val="28"/>
          <w:szCs w:val="28"/>
        </w:rPr>
        <w:t xml:space="preserve">4.134 billion. The overall revenue for the State inclusive of revenue from Revenue Retaining Agencies (RRA) was </w:t>
      </w:r>
      <w:r w:rsidRPr="009E5878">
        <w:rPr>
          <w:rFonts w:ascii="Tahoma" w:hAnsi="Tahoma" w:cs="Tahoma"/>
          <w:dstrike/>
          <w:sz w:val="28"/>
          <w:szCs w:val="28"/>
        </w:rPr>
        <w:t>N</w:t>
      </w:r>
      <w:r>
        <w:rPr>
          <w:rFonts w:ascii="Tahoma" w:hAnsi="Tahoma" w:cs="Tahoma"/>
          <w:sz w:val="28"/>
          <w:szCs w:val="28"/>
        </w:rPr>
        <w:t>25.484 billion, representing 52.6% performance.</w:t>
      </w:r>
    </w:p>
    <w:p w:rsidR="00DC24F2" w:rsidRDefault="00DC24F2" w:rsidP="00DC24F2">
      <w:pPr>
        <w:pStyle w:val="NoSpacing"/>
        <w:spacing w:before="240" w:after="240" w:line="480" w:lineRule="auto"/>
        <w:jc w:val="both"/>
        <w:rPr>
          <w:rFonts w:ascii="Tahoma" w:hAnsi="Tahoma" w:cs="Tahoma"/>
          <w:sz w:val="28"/>
          <w:szCs w:val="28"/>
        </w:rPr>
      </w:pPr>
      <w:r>
        <w:rPr>
          <w:rFonts w:ascii="Tahoma" w:hAnsi="Tahoma" w:cs="Tahoma"/>
          <w:sz w:val="28"/>
          <w:szCs w:val="28"/>
        </w:rPr>
        <w:lastRenderedPageBreak/>
        <w:t xml:space="preserve">On the other hand, the total actual expenditure for the first quarter was </w:t>
      </w:r>
      <w:r w:rsidRPr="009E5878">
        <w:rPr>
          <w:rFonts w:ascii="Tahoma" w:hAnsi="Tahoma" w:cs="Tahoma"/>
          <w:dstrike/>
          <w:sz w:val="28"/>
          <w:szCs w:val="28"/>
        </w:rPr>
        <w:t>N</w:t>
      </w:r>
      <w:r>
        <w:rPr>
          <w:rFonts w:ascii="Tahoma" w:hAnsi="Tahoma" w:cs="Tahoma"/>
          <w:sz w:val="28"/>
          <w:szCs w:val="28"/>
        </w:rPr>
        <w:t xml:space="preserve">23.696 billion against the proposed estimates </w:t>
      </w:r>
      <w:r w:rsidRPr="009E5878">
        <w:rPr>
          <w:rFonts w:ascii="Tahoma" w:hAnsi="Tahoma" w:cs="Tahoma"/>
          <w:sz w:val="28"/>
          <w:szCs w:val="28"/>
        </w:rPr>
        <w:t xml:space="preserve">of </w:t>
      </w:r>
      <w:r w:rsidRPr="009E5878">
        <w:rPr>
          <w:rFonts w:ascii="Tahoma" w:hAnsi="Tahoma" w:cs="Tahoma"/>
          <w:dstrike/>
          <w:sz w:val="28"/>
          <w:szCs w:val="28"/>
        </w:rPr>
        <w:t>N</w:t>
      </w:r>
      <w:r>
        <w:rPr>
          <w:rFonts w:ascii="Tahoma" w:hAnsi="Tahoma" w:cs="Tahoma"/>
          <w:sz w:val="28"/>
          <w:szCs w:val="28"/>
        </w:rPr>
        <w:t>48.478 b</w:t>
      </w:r>
      <w:r w:rsidRPr="009E5878">
        <w:rPr>
          <w:rFonts w:ascii="Tahoma" w:hAnsi="Tahoma" w:cs="Tahoma"/>
          <w:sz w:val="28"/>
          <w:szCs w:val="28"/>
        </w:rPr>
        <w:t>illion</w:t>
      </w:r>
      <w:r>
        <w:rPr>
          <w:rFonts w:ascii="Tahoma" w:hAnsi="Tahoma" w:cs="Tahoma"/>
          <w:sz w:val="28"/>
          <w:szCs w:val="28"/>
        </w:rPr>
        <w:t xml:space="preserve">. </w:t>
      </w:r>
      <w:r w:rsidRPr="009E5878">
        <w:rPr>
          <w:rFonts w:ascii="Tahoma" w:hAnsi="Tahoma" w:cs="Tahoma"/>
          <w:sz w:val="28"/>
          <w:szCs w:val="28"/>
        </w:rPr>
        <w:t>T</w:t>
      </w:r>
      <w:r>
        <w:rPr>
          <w:rFonts w:ascii="Tahoma" w:hAnsi="Tahoma" w:cs="Tahoma"/>
          <w:sz w:val="28"/>
          <w:szCs w:val="28"/>
        </w:rPr>
        <w:t xml:space="preserve">he figure depicted overall performance level of 48.9% for the quarter while the corresponding 2018 first quarter actual of </w:t>
      </w:r>
      <w:r w:rsidRPr="009E5878">
        <w:rPr>
          <w:rFonts w:ascii="Tahoma" w:hAnsi="Tahoma" w:cs="Tahoma"/>
          <w:dstrike/>
          <w:sz w:val="28"/>
          <w:szCs w:val="28"/>
        </w:rPr>
        <w:t>N</w:t>
      </w:r>
      <w:r>
        <w:rPr>
          <w:rFonts w:ascii="Tahoma" w:hAnsi="Tahoma" w:cs="Tahoma"/>
          <w:sz w:val="28"/>
          <w:szCs w:val="28"/>
        </w:rPr>
        <w:t xml:space="preserve">21.548 billion recorded an overall performance of 47.5%. </w:t>
      </w:r>
      <w:r w:rsidRPr="009E5878">
        <w:rPr>
          <w:rFonts w:ascii="Tahoma" w:hAnsi="Tahoma" w:cs="Tahoma"/>
          <w:sz w:val="28"/>
          <w:szCs w:val="28"/>
        </w:rPr>
        <w:t>The breakd</w:t>
      </w:r>
      <w:r>
        <w:rPr>
          <w:rFonts w:ascii="Tahoma" w:hAnsi="Tahoma" w:cs="Tahoma"/>
          <w:sz w:val="28"/>
          <w:szCs w:val="28"/>
        </w:rPr>
        <w:t xml:space="preserve">own of the figure for the 2019 First Quarter showed that </w:t>
      </w:r>
      <w:r w:rsidRPr="009E5878">
        <w:rPr>
          <w:rFonts w:ascii="Tahoma" w:hAnsi="Tahoma" w:cs="Tahoma"/>
          <w:sz w:val="28"/>
          <w:szCs w:val="28"/>
        </w:rPr>
        <w:t>the actual recurrent expenditure was</w:t>
      </w:r>
      <w:r>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 xml:space="preserve">17.537 billion, representing 83.7%, Debt Repayment </w:t>
      </w:r>
      <w:r w:rsidRPr="009E5878">
        <w:rPr>
          <w:rFonts w:ascii="Tahoma" w:hAnsi="Tahoma" w:cs="Tahoma"/>
          <w:dstrike/>
          <w:sz w:val="28"/>
          <w:szCs w:val="28"/>
        </w:rPr>
        <w:t>N</w:t>
      </w:r>
      <w:r>
        <w:rPr>
          <w:rFonts w:ascii="Tahoma" w:hAnsi="Tahoma" w:cs="Tahoma"/>
          <w:sz w:val="28"/>
          <w:szCs w:val="28"/>
        </w:rPr>
        <w:t>1.910 b</w:t>
      </w:r>
      <w:r w:rsidRPr="009E5878">
        <w:rPr>
          <w:rFonts w:ascii="Tahoma" w:hAnsi="Tahoma" w:cs="Tahoma"/>
          <w:sz w:val="28"/>
          <w:szCs w:val="28"/>
        </w:rPr>
        <w:t>illion</w:t>
      </w:r>
      <w:r>
        <w:rPr>
          <w:rFonts w:ascii="Tahoma" w:hAnsi="Tahoma" w:cs="Tahoma"/>
          <w:sz w:val="28"/>
          <w:szCs w:val="28"/>
        </w:rPr>
        <w:t xml:space="preserve">, representing 73.0%, Statutory Transfer </w:t>
      </w:r>
      <w:r w:rsidRPr="009E5878">
        <w:rPr>
          <w:rFonts w:ascii="Tahoma" w:hAnsi="Tahoma" w:cs="Tahoma"/>
          <w:dstrike/>
          <w:sz w:val="28"/>
          <w:szCs w:val="28"/>
        </w:rPr>
        <w:t>N</w:t>
      </w:r>
      <w:r>
        <w:rPr>
          <w:rFonts w:ascii="Tahoma" w:hAnsi="Tahoma" w:cs="Tahoma"/>
          <w:sz w:val="28"/>
          <w:szCs w:val="28"/>
        </w:rPr>
        <w:t>0.930 b</w:t>
      </w:r>
      <w:r w:rsidRPr="009E5878">
        <w:rPr>
          <w:rFonts w:ascii="Tahoma" w:hAnsi="Tahoma" w:cs="Tahoma"/>
          <w:sz w:val="28"/>
          <w:szCs w:val="28"/>
        </w:rPr>
        <w:t>illion</w:t>
      </w:r>
      <w:r>
        <w:rPr>
          <w:rFonts w:ascii="Tahoma" w:hAnsi="Tahoma" w:cs="Tahoma"/>
          <w:sz w:val="28"/>
          <w:szCs w:val="28"/>
        </w:rPr>
        <w:t>, representing 38.9%, while the actual capital expenditure stood</w:t>
      </w:r>
      <w:r w:rsidRPr="009E5878">
        <w:rPr>
          <w:rFonts w:ascii="Tahoma" w:hAnsi="Tahoma" w:cs="Tahoma"/>
          <w:sz w:val="28"/>
          <w:szCs w:val="28"/>
        </w:rPr>
        <w:t xml:space="preserve"> at</w:t>
      </w:r>
      <w:r>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3.320 billion, representing 14.7</w:t>
      </w:r>
      <w:r w:rsidRPr="009E5878">
        <w:rPr>
          <w:rFonts w:ascii="Tahoma" w:hAnsi="Tahoma" w:cs="Tahoma"/>
          <w:sz w:val="28"/>
          <w:szCs w:val="28"/>
        </w:rPr>
        <w:t>% perf</w:t>
      </w:r>
      <w:r>
        <w:rPr>
          <w:rFonts w:ascii="Tahoma" w:hAnsi="Tahoma" w:cs="Tahoma"/>
          <w:sz w:val="28"/>
          <w:szCs w:val="28"/>
        </w:rPr>
        <w:t>ormance</w:t>
      </w:r>
      <w:r w:rsidRPr="009E5878">
        <w:rPr>
          <w:rFonts w:ascii="Tahoma" w:hAnsi="Tahoma" w:cs="Tahoma"/>
          <w:sz w:val="28"/>
          <w:szCs w:val="28"/>
        </w:rPr>
        <w:t>.</w:t>
      </w:r>
    </w:p>
    <w:p w:rsidR="00DC24F2" w:rsidRPr="00310A9E" w:rsidRDefault="00DC24F2" w:rsidP="00DC24F2">
      <w:pPr>
        <w:pStyle w:val="NoSpacing"/>
        <w:spacing w:before="240" w:after="240" w:line="480" w:lineRule="auto"/>
        <w:jc w:val="both"/>
        <w:rPr>
          <w:rFonts w:ascii="Tahoma" w:hAnsi="Tahoma" w:cs="Tahoma"/>
          <w:sz w:val="28"/>
          <w:szCs w:val="28"/>
        </w:rPr>
      </w:pPr>
      <w:r w:rsidRPr="009E5878">
        <w:rPr>
          <w:rFonts w:ascii="Tahoma" w:hAnsi="Tahoma" w:cs="Tahoma"/>
          <w:sz w:val="28"/>
          <w:szCs w:val="28"/>
        </w:rPr>
        <w:t>Further breakdown and analysis of the</w:t>
      </w:r>
      <w:r>
        <w:rPr>
          <w:rFonts w:ascii="Tahoma" w:hAnsi="Tahoma" w:cs="Tahoma"/>
          <w:sz w:val="28"/>
          <w:szCs w:val="28"/>
        </w:rPr>
        <w:t xml:space="preserve"> 2019 first quarter budget implementation </w:t>
      </w:r>
      <w:r w:rsidRPr="009E5878">
        <w:rPr>
          <w:rFonts w:ascii="Tahoma" w:hAnsi="Tahoma" w:cs="Tahoma"/>
          <w:sz w:val="28"/>
          <w:szCs w:val="28"/>
        </w:rPr>
        <w:t>appraisal is structured in chapters. Chapter one discusses the introduction, objectiv</w:t>
      </w:r>
      <w:r>
        <w:rPr>
          <w:rFonts w:ascii="Tahoma" w:hAnsi="Tahoma" w:cs="Tahoma"/>
          <w:sz w:val="28"/>
          <w:szCs w:val="28"/>
        </w:rPr>
        <w:t>es and policy thrust of the 2019</w:t>
      </w:r>
      <w:r w:rsidRPr="009E5878">
        <w:rPr>
          <w:rFonts w:ascii="Tahoma" w:hAnsi="Tahoma" w:cs="Tahoma"/>
          <w:sz w:val="28"/>
          <w:szCs w:val="28"/>
        </w:rPr>
        <w:t xml:space="preserve"> budget. Details of revenue profile and analysis for the </w:t>
      </w:r>
      <w:r>
        <w:rPr>
          <w:rFonts w:ascii="Tahoma" w:hAnsi="Tahoma" w:cs="Tahoma"/>
          <w:sz w:val="28"/>
          <w:szCs w:val="28"/>
        </w:rPr>
        <w:t>first</w:t>
      </w:r>
      <w:r w:rsidRPr="009E5878">
        <w:rPr>
          <w:rFonts w:ascii="Tahoma" w:hAnsi="Tahoma" w:cs="Tahoma"/>
          <w:sz w:val="28"/>
          <w:szCs w:val="28"/>
        </w:rPr>
        <w:t xml:space="preserve"> quarter</w:t>
      </w:r>
      <w:r>
        <w:rPr>
          <w:rFonts w:ascii="Tahoma" w:hAnsi="Tahoma" w:cs="Tahoma"/>
          <w:sz w:val="28"/>
          <w:szCs w:val="28"/>
        </w:rPr>
        <w:t xml:space="preserve"> </w:t>
      </w:r>
      <w:r w:rsidRPr="009E5878">
        <w:rPr>
          <w:rFonts w:ascii="Tahoma" w:hAnsi="Tahoma" w:cs="Tahoma"/>
          <w:sz w:val="28"/>
          <w:szCs w:val="28"/>
        </w:rPr>
        <w:t>are contained in chapter two. Chapter three focuses on the expenditure profile an</w:t>
      </w:r>
      <w:r>
        <w:rPr>
          <w:rFonts w:ascii="Tahoma" w:hAnsi="Tahoma" w:cs="Tahoma"/>
          <w:sz w:val="28"/>
          <w:szCs w:val="28"/>
        </w:rPr>
        <w:t>d analysis. Chapter four covers capital projects awarded in 2019 through the State Tenders’ Board while chapter five highlights the observations,</w:t>
      </w:r>
      <w:r w:rsidRPr="009E5878">
        <w:rPr>
          <w:rFonts w:ascii="Tahoma" w:hAnsi="Tahoma" w:cs="Tahoma"/>
          <w:sz w:val="28"/>
          <w:szCs w:val="28"/>
        </w:rPr>
        <w:t xml:space="preserve"> recommendations</w:t>
      </w:r>
      <w:r>
        <w:rPr>
          <w:rFonts w:ascii="Tahoma" w:hAnsi="Tahoma" w:cs="Tahoma"/>
          <w:sz w:val="28"/>
          <w:szCs w:val="28"/>
        </w:rPr>
        <w:t xml:space="preserve"> and conclusion</w:t>
      </w:r>
      <w:r w:rsidRPr="009E5878">
        <w:rPr>
          <w:rFonts w:ascii="Tahoma" w:hAnsi="Tahoma" w:cs="Tahoma"/>
          <w:sz w:val="28"/>
          <w:szCs w:val="28"/>
        </w:rPr>
        <w:t>.</w:t>
      </w:r>
    </w:p>
    <w:p w:rsidR="00DC24F2" w:rsidRDefault="00DC24F2" w:rsidP="00DC24F2">
      <w:pPr>
        <w:autoSpaceDE w:val="0"/>
        <w:autoSpaceDN w:val="0"/>
        <w:adjustRightInd w:val="0"/>
        <w:spacing w:after="0" w:line="480" w:lineRule="auto"/>
        <w:rPr>
          <w:rFonts w:ascii="Tahoma" w:hAnsi="Tahoma" w:cs="Tahoma"/>
          <w:b/>
          <w:bCs/>
          <w:sz w:val="28"/>
          <w:szCs w:val="28"/>
        </w:rPr>
      </w:pPr>
    </w:p>
    <w:p w:rsidR="00DC24F2" w:rsidRDefault="00DC24F2" w:rsidP="00DC24F2">
      <w:pPr>
        <w:autoSpaceDE w:val="0"/>
        <w:autoSpaceDN w:val="0"/>
        <w:adjustRightInd w:val="0"/>
        <w:spacing w:after="0" w:line="480" w:lineRule="auto"/>
        <w:jc w:val="center"/>
        <w:rPr>
          <w:rFonts w:ascii="Tahoma" w:hAnsi="Tahoma" w:cs="Tahoma"/>
          <w:b/>
          <w:bCs/>
          <w:sz w:val="28"/>
          <w:szCs w:val="28"/>
        </w:rPr>
      </w:pPr>
    </w:p>
    <w:p w:rsidR="00DC24F2" w:rsidRDefault="00DC24F2" w:rsidP="00DC24F2">
      <w:pPr>
        <w:autoSpaceDE w:val="0"/>
        <w:autoSpaceDN w:val="0"/>
        <w:adjustRightInd w:val="0"/>
        <w:spacing w:after="0" w:line="480" w:lineRule="auto"/>
        <w:rPr>
          <w:rFonts w:ascii="Tahoma" w:hAnsi="Tahoma" w:cs="Tahoma"/>
          <w:b/>
          <w:bCs/>
          <w:sz w:val="28"/>
          <w:szCs w:val="28"/>
        </w:rPr>
      </w:pPr>
    </w:p>
    <w:p w:rsidR="00DC24F2" w:rsidRPr="00E70703" w:rsidRDefault="00DC24F2" w:rsidP="00DC24F2">
      <w:pPr>
        <w:autoSpaceDE w:val="0"/>
        <w:autoSpaceDN w:val="0"/>
        <w:adjustRightInd w:val="0"/>
        <w:spacing w:after="0" w:line="480" w:lineRule="auto"/>
        <w:jc w:val="center"/>
        <w:rPr>
          <w:rFonts w:ascii="Tahoma" w:hAnsi="Tahoma" w:cs="Tahoma"/>
          <w:b/>
          <w:bCs/>
          <w:sz w:val="28"/>
          <w:szCs w:val="28"/>
        </w:rPr>
      </w:pPr>
      <w:r w:rsidRPr="00E70703">
        <w:rPr>
          <w:rFonts w:ascii="Tahoma" w:hAnsi="Tahoma" w:cs="Tahoma"/>
          <w:b/>
          <w:bCs/>
          <w:sz w:val="28"/>
          <w:szCs w:val="28"/>
        </w:rPr>
        <w:lastRenderedPageBreak/>
        <w:t>CHAPTER ONE</w:t>
      </w:r>
    </w:p>
    <w:p w:rsidR="00DC24F2" w:rsidRPr="00E70703" w:rsidRDefault="00DC24F2" w:rsidP="00DC24F2">
      <w:pPr>
        <w:autoSpaceDE w:val="0"/>
        <w:autoSpaceDN w:val="0"/>
        <w:adjustRightInd w:val="0"/>
        <w:spacing w:after="0" w:line="480" w:lineRule="auto"/>
        <w:jc w:val="both"/>
        <w:rPr>
          <w:rFonts w:ascii="Tahoma" w:hAnsi="Tahoma" w:cs="Tahoma"/>
          <w:b/>
          <w:bCs/>
          <w:sz w:val="28"/>
          <w:szCs w:val="28"/>
        </w:rPr>
      </w:pPr>
      <w:r>
        <w:rPr>
          <w:rFonts w:ascii="Tahoma" w:hAnsi="Tahoma" w:cs="Tahoma"/>
          <w:b/>
          <w:bCs/>
          <w:sz w:val="28"/>
          <w:szCs w:val="28"/>
        </w:rPr>
        <w:t>1.1</w:t>
      </w:r>
      <w:r>
        <w:rPr>
          <w:rFonts w:ascii="Tahoma" w:hAnsi="Tahoma" w:cs="Tahoma"/>
          <w:b/>
          <w:bCs/>
          <w:sz w:val="28"/>
          <w:szCs w:val="28"/>
        </w:rPr>
        <w:tab/>
        <w:t>INTRODUCTION</w:t>
      </w:r>
    </w:p>
    <w:p w:rsidR="00DC24F2" w:rsidRPr="00EB0F60" w:rsidRDefault="00DC24F2" w:rsidP="00DC24F2">
      <w:pPr>
        <w:pStyle w:val="NoSpacing"/>
        <w:spacing w:line="480" w:lineRule="auto"/>
        <w:jc w:val="both"/>
      </w:pPr>
      <w:r>
        <w:rPr>
          <w:rFonts w:ascii="ArialMT" w:hAnsi="ArialMT" w:cs="ArialMT"/>
          <w:sz w:val="28"/>
          <w:szCs w:val="28"/>
        </w:rPr>
        <w:tab/>
        <w:t>T</w:t>
      </w:r>
      <w:r w:rsidRPr="00280A4E">
        <w:rPr>
          <w:rFonts w:ascii="Tahoma" w:hAnsi="Tahoma" w:cs="Tahoma"/>
          <w:sz w:val="28"/>
          <w:szCs w:val="28"/>
        </w:rPr>
        <w:t xml:space="preserve">he </w:t>
      </w:r>
      <w:r>
        <w:rPr>
          <w:rFonts w:ascii="Tahoma" w:hAnsi="Tahoma" w:cs="Tahoma"/>
          <w:sz w:val="28"/>
          <w:szCs w:val="28"/>
        </w:rPr>
        <w:t xml:space="preserve">2019 </w:t>
      </w:r>
      <w:r w:rsidRPr="00280A4E">
        <w:rPr>
          <w:rFonts w:ascii="Tahoma" w:hAnsi="Tahoma" w:cs="Tahoma"/>
          <w:sz w:val="28"/>
          <w:szCs w:val="28"/>
        </w:rPr>
        <w:t>Bud</w:t>
      </w:r>
      <w:r>
        <w:rPr>
          <w:rFonts w:ascii="Tahoma" w:hAnsi="Tahoma" w:cs="Tahoma"/>
          <w:sz w:val="28"/>
          <w:szCs w:val="28"/>
        </w:rPr>
        <w:t xml:space="preserve">get was </w:t>
      </w:r>
      <w:r>
        <w:rPr>
          <w:rFonts w:ascii="Tahoma" w:eastAsia="Tahoma" w:hAnsi="Tahoma" w:cs="Tahoma"/>
          <w:color w:val="000000"/>
          <w:sz w:val="28"/>
          <w:szCs w:val="28"/>
        </w:rPr>
        <w:t xml:space="preserve">closely linked with the Strategic Development and Policy Implementation Plan document </w:t>
      </w:r>
      <w:r w:rsidRPr="00280A4E">
        <w:rPr>
          <w:rFonts w:ascii="Tahoma" w:eastAsia="Tahoma" w:hAnsi="Tahoma" w:cs="Tahoma"/>
          <w:color w:val="000000"/>
          <w:sz w:val="28"/>
          <w:szCs w:val="28"/>
        </w:rPr>
        <w:t xml:space="preserve">tagged the </w:t>
      </w:r>
      <w:r w:rsidRPr="00280A4E">
        <w:rPr>
          <w:rFonts w:ascii="Tahoma" w:eastAsia="Tahoma" w:hAnsi="Tahoma" w:cs="Tahoma"/>
          <w:i/>
          <w:color w:val="000000"/>
          <w:sz w:val="28"/>
          <w:szCs w:val="28"/>
        </w:rPr>
        <w:t>Blueprint to Progress</w:t>
      </w:r>
      <w:r w:rsidRPr="00280A4E">
        <w:rPr>
          <w:rFonts w:ascii="Tahoma" w:eastAsia="Tahoma" w:hAnsi="Tahoma" w:cs="Tahoma"/>
          <w:color w:val="000000"/>
          <w:sz w:val="28"/>
          <w:szCs w:val="28"/>
        </w:rPr>
        <w:t xml:space="preserve"> of this administration</w:t>
      </w:r>
      <w:r>
        <w:rPr>
          <w:rFonts w:ascii="Tahoma" w:hAnsi="Tahoma" w:cs="Tahoma"/>
          <w:sz w:val="28"/>
          <w:szCs w:val="28"/>
        </w:rPr>
        <w:t xml:space="preserve"> and was</w:t>
      </w:r>
      <w:r w:rsidRPr="00280A4E">
        <w:rPr>
          <w:rFonts w:ascii="Tahoma" w:hAnsi="Tahoma" w:cs="Tahoma"/>
          <w:sz w:val="28"/>
          <w:szCs w:val="28"/>
        </w:rPr>
        <w:t xml:space="preserve"> designed to </w:t>
      </w:r>
      <w:r w:rsidRPr="00280A4E">
        <w:rPr>
          <w:rFonts w:ascii="Tahoma" w:eastAsia="Tahoma" w:hAnsi="Tahoma" w:cs="Tahoma"/>
          <w:color w:val="000000"/>
          <w:sz w:val="28"/>
          <w:szCs w:val="28"/>
        </w:rPr>
        <w:t>focus on rebuil</w:t>
      </w:r>
      <w:r>
        <w:rPr>
          <w:rFonts w:ascii="Tahoma" w:eastAsia="Tahoma" w:hAnsi="Tahoma" w:cs="Tahoma"/>
          <w:color w:val="000000"/>
          <w:sz w:val="28"/>
          <w:szCs w:val="28"/>
        </w:rPr>
        <w:t>ding the State’s economy by providing</w:t>
      </w:r>
      <w:r w:rsidRPr="00105F3B">
        <w:rPr>
          <w:rFonts w:ascii="Tahoma" w:hAnsi="Tahoma" w:cs="Tahoma"/>
          <w:sz w:val="28"/>
          <w:szCs w:val="28"/>
        </w:rPr>
        <w:t xml:space="preserve"> roadmap for rapid economic growth, maintain fiscal discipline, create wealth and empowerment, encourage self-reliance and develop a knowledge-based economy.</w:t>
      </w:r>
      <w:r>
        <w:rPr>
          <w:rFonts w:ascii="Tahoma" w:hAnsi="Tahoma" w:cs="Tahoma"/>
          <w:sz w:val="26"/>
          <w:szCs w:val="28"/>
        </w:rPr>
        <w:t xml:space="preserve"> </w:t>
      </w:r>
    </w:p>
    <w:p w:rsidR="00DC24F2" w:rsidRDefault="00DC24F2" w:rsidP="00DC24F2">
      <w:pPr>
        <w:autoSpaceDE w:val="0"/>
        <w:autoSpaceDN w:val="0"/>
        <w:adjustRightInd w:val="0"/>
        <w:spacing w:after="0" w:line="480" w:lineRule="auto"/>
        <w:jc w:val="both"/>
        <w:rPr>
          <w:rFonts w:ascii="Tahoma" w:hAnsi="Tahoma" w:cs="Tahoma"/>
          <w:sz w:val="28"/>
          <w:szCs w:val="28"/>
        </w:rPr>
      </w:pPr>
      <w:r>
        <w:rPr>
          <w:rFonts w:ascii="Tahoma" w:hAnsi="Tahoma" w:cs="Tahoma"/>
          <w:sz w:val="28"/>
          <w:szCs w:val="28"/>
        </w:rPr>
        <w:tab/>
        <w:t xml:space="preserve">The 2019 First Quarter </w:t>
      </w:r>
      <w:r w:rsidRPr="00E70703">
        <w:rPr>
          <w:rFonts w:ascii="Tahoma" w:hAnsi="Tahoma" w:cs="Tahoma"/>
          <w:sz w:val="28"/>
          <w:szCs w:val="28"/>
        </w:rPr>
        <w:t>Budget Appraisal Report  provides insight into the Ondo State Governm</w:t>
      </w:r>
      <w:r>
        <w:rPr>
          <w:rFonts w:ascii="Tahoma" w:hAnsi="Tahoma" w:cs="Tahoma"/>
          <w:sz w:val="28"/>
          <w:szCs w:val="28"/>
        </w:rPr>
        <w:t xml:space="preserve">ent’s Budget Implementation </w:t>
      </w:r>
      <w:r w:rsidRPr="00E70703">
        <w:rPr>
          <w:rFonts w:ascii="Tahoma" w:hAnsi="Tahoma" w:cs="Tahoma"/>
          <w:sz w:val="28"/>
          <w:szCs w:val="28"/>
        </w:rPr>
        <w:t xml:space="preserve">Performance </w:t>
      </w:r>
      <w:r>
        <w:rPr>
          <w:rFonts w:ascii="Tahoma" w:hAnsi="Tahoma" w:cs="Tahoma"/>
          <w:sz w:val="28"/>
          <w:szCs w:val="28"/>
        </w:rPr>
        <w:t>from January to March, 2019. It presents</w:t>
      </w:r>
      <w:r w:rsidRPr="00E70703">
        <w:rPr>
          <w:rFonts w:ascii="Tahoma" w:hAnsi="Tahoma" w:cs="Tahoma"/>
          <w:sz w:val="28"/>
          <w:szCs w:val="28"/>
        </w:rPr>
        <w:t xml:space="preserve"> an overview of budget implementation activities, a brief analysis of the macroeconom</w:t>
      </w:r>
      <w:r>
        <w:rPr>
          <w:rFonts w:ascii="Tahoma" w:hAnsi="Tahoma" w:cs="Tahoma"/>
          <w:sz w:val="28"/>
          <w:szCs w:val="28"/>
        </w:rPr>
        <w:t>ic context within which the 2019 Budget was crafted</w:t>
      </w:r>
      <w:r w:rsidRPr="00E70703">
        <w:rPr>
          <w:rFonts w:ascii="Tahoma" w:hAnsi="Tahoma" w:cs="Tahoma"/>
          <w:sz w:val="28"/>
          <w:szCs w:val="28"/>
        </w:rPr>
        <w:t>, and an analysis of the Government’s rev</w:t>
      </w:r>
      <w:r>
        <w:rPr>
          <w:rFonts w:ascii="Tahoma" w:hAnsi="Tahoma" w:cs="Tahoma"/>
          <w:sz w:val="28"/>
          <w:szCs w:val="28"/>
        </w:rPr>
        <w:t>enue receipts and expenditure for</w:t>
      </w:r>
      <w:r w:rsidRPr="00E70703">
        <w:rPr>
          <w:rFonts w:ascii="Tahoma" w:hAnsi="Tahoma" w:cs="Tahoma"/>
          <w:sz w:val="28"/>
          <w:szCs w:val="28"/>
        </w:rPr>
        <w:t xml:space="preserve"> the </w:t>
      </w:r>
      <w:r>
        <w:rPr>
          <w:rFonts w:ascii="Tahoma" w:hAnsi="Tahoma" w:cs="Tahoma"/>
          <w:sz w:val="28"/>
          <w:szCs w:val="28"/>
        </w:rPr>
        <w:t>first quarter</w:t>
      </w:r>
      <w:r w:rsidRPr="00E70703">
        <w:rPr>
          <w:rFonts w:ascii="Tahoma" w:hAnsi="Tahoma" w:cs="Tahoma"/>
          <w:sz w:val="28"/>
          <w:szCs w:val="28"/>
        </w:rPr>
        <w:t>.</w:t>
      </w:r>
    </w:p>
    <w:p w:rsidR="00DC24F2" w:rsidRDefault="00DC24F2" w:rsidP="00DC24F2">
      <w:pPr>
        <w:pStyle w:val="NoSpacing"/>
        <w:spacing w:line="480" w:lineRule="auto"/>
        <w:jc w:val="both"/>
        <w:rPr>
          <w:rFonts w:ascii="Tahoma" w:hAnsi="Tahoma" w:cs="Tahoma"/>
          <w:b/>
          <w:sz w:val="26"/>
          <w:szCs w:val="26"/>
          <w:u w:val="single"/>
        </w:rPr>
      </w:pPr>
      <w:r>
        <w:rPr>
          <w:rFonts w:ascii="Tahoma" w:hAnsi="Tahoma" w:cs="Tahoma"/>
          <w:b/>
          <w:sz w:val="28"/>
          <w:szCs w:val="28"/>
        </w:rPr>
        <w:t>1.2</w:t>
      </w:r>
      <w:r>
        <w:rPr>
          <w:rFonts w:ascii="Tahoma" w:hAnsi="Tahoma" w:cs="Tahoma"/>
          <w:b/>
          <w:sz w:val="28"/>
          <w:szCs w:val="28"/>
        </w:rPr>
        <w:tab/>
      </w:r>
      <w:r w:rsidRPr="008D62A9">
        <w:rPr>
          <w:rFonts w:ascii="Tahoma" w:hAnsi="Tahoma" w:cs="Tahoma"/>
          <w:b/>
          <w:sz w:val="26"/>
          <w:szCs w:val="26"/>
          <w:u w:val="single"/>
        </w:rPr>
        <w:t>OBJECTIVES AND POLICY THRUST</w:t>
      </w:r>
      <w:r>
        <w:rPr>
          <w:rFonts w:ascii="Tahoma" w:hAnsi="Tahoma" w:cs="Tahoma"/>
          <w:b/>
          <w:sz w:val="26"/>
          <w:szCs w:val="26"/>
          <w:u w:val="single"/>
        </w:rPr>
        <w:t>S OF 2019 BUDGET</w:t>
      </w:r>
    </w:p>
    <w:p w:rsidR="00DC24F2" w:rsidRPr="00EC7B70" w:rsidRDefault="00DC24F2" w:rsidP="00DC24F2">
      <w:pPr>
        <w:pStyle w:val="NoSpacing"/>
        <w:spacing w:line="480" w:lineRule="auto"/>
        <w:jc w:val="both"/>
        <w:rPr>
          <w:rFonts w:ascii="Tahoma" w:hAnsi="Tahoma" w:cs="Tahoma"/>
          <w:b/>
          <w:sz w:val="28"/>
          <w:szCs w:val="28"/>
          <w:u w:val="single"/>
        </w:rPr>
      </w:pPr>
      <w:r>
        <w:rPr>
          <w:rFonts w:ascii="Tahoma" w:hAnsi="Tahoma" w:cs="Tahoma"/>
          <w:sz w:val="28"/>
          <w:szCs w:val="28"/>
        </w:rPr>
        <w:t xml:space="preserve">The key objectives of </w:t>
      </w:r>
      <w:r w:rsidRPr="00EC7B70">
        <w:rPr>
          <w:rFonts w:ascii="Tahoma" w:hAnsi="Tahoma" w:cs="Tahoma"/>
          <w:sz w:val="28"/>
          <w:szCs w:val="28"/>
        </w:rPr>
        <w:t>2019 budget are:</w:t>
      </w:r>
    </w:p>
    <w:p w:rsidR="00DC24F2" w:rsidRPr="00EC7B70" w:rsidRDefault="00DC24F2" w:rsidP="00DC24F2">
      <w:pPr>
        <w:pStyle w:val="NoSpacing"/>
        <w:spacing w:line="360" w:lineRule="auto"/>
        <w:ind w:left="1440" w:hanging="720"/>
        <w:jc w:val="both"/>
        <w:rPr>
          <w:rFonts w:ascii="Tahoma" w:hAnsi="Tahoma" w:cs="Tahoma"/>
          <w:sz w:val="28"/>
          <w:szCs w:val="28"/>
        </w:rPr>
      </w:pPr>
      <w:r w:rsidRPr="00EC7B70">
        <w:rPr>
          <w:rFonts w:ascii="Tahoma" w:hAnsi="Tahoma" w:cs="Tahoma"/>
          <w:sz w:val="28"/>
          <w:szCs w:val="28"/>
        </w:rPr>
        <w:t>(i)</w:t>
      </w:r>
      <w:r w:rsidRPr="00EC7B70">
        <w:rPr>
          <w:rFonts w:ascii="Tahoma" w:hAnsi="Tahoma" w:cs="Tahoma"/>
          <w:sz w:val="28"/>
          <w:szCs w:val="28"/>
        </w:rPr>
        <w:tab/>
        <w:t>Completion of on-going programmes/projects;</w:t>
      </w:r>
    </w:p>
    <w:p w:rsidR="00DC24F2" w:rsidRPr="00EC7B70" w:rsidRDefault="00DC24F2" w:rsidP="00DC24F2">
      <w:pPr>
        <w:pStyle w:val="NoSpacing"/>
        <w:spacing w:line="360" w:lineRule="auto"/>
        <w:ind w:left="1440" w:hanging="720"/>
        <w:jc w:val="both"/>
        <w:rPr>
          <w:rFonts w:ascii="Tahoma" w:hAnsi="Tahoma" w:cs="Tahoma"/>
          <w:sz w:val="28"/>
          <w:szCs w:val="28"/>
        </w:rPr>
      </w:pPr>
      <w:r>
        <w:rPr>
          <w:rFonts w:ascii="Tahoma" w:hAnsi="Tahoma" w:cs="Tahoma"/>
          <w:sz w:val="28"/>
          <w:szCs w:val="28"/>
        </w:rPr>
        <w:t>(ii</w:t>
      </w:r>
      <w:r w:rsidRPr="00EC7B70">
        <w:rPr>
          <w:rFonts w:ascii="Tahoma" w:hAnsi="Tahoma" w:cs="Tahoma"/>
          <w:sz w:val="28"/>
          <w:szCs w:val="28"/>
        </w:rPr>
        <w:t>)</w:t>
      </w:r>
      <w:r w:rsidRPr="00EC7B70">
        <w:rPr>
          <w:rFonts w:ascii="Tahoma" w:hAnsi="Tahoma" w:cs="Tahoma"/>
          <w:sz w:val="28"/>
          <w:szCs w:val="28"/>
        </w:rPr>
        <w:tab/>
        <w:t>Sustained expansion of the fiscal space and rejig the economy through strategic wealth creation for the productive sector (Youths, Artisans, Women, etc);</w:t>
      </w:r>
    </w:p>
    <w:p w:rsidR="00DC24F2" w:rsidRPr="00EC7B70" w:rsidRDefault="00DC24F2" w:rsidP="00DC24F2">
      <w:pPr>
        <w:pStyle w:val="NoSpacing"/>
        <w:spacing w:line="360" w:lineRule="auto"/>
        <w:ind w:left="1440" w:hanging="720"/>
        <w:jc w:val="both"/>
        <w:rPr>
          <w:rFonts w:ascii="Tahoma" w:hAnsi="Tahoma" w:cs="Tahoma"/>
          <w:sz w:val="28"/>
          <w:szCs w:val="28"/>
        </w:rPr>
      </w:pPr>
      <w:r>
        <w:rPr>
          <w:rFonts w:ascii="Tahoma" w:hAnsi="Tahoma" w:cs="Tahoma"/>
          <w:sz w:val="28"/>
          <w:szCs w:val="28"/>
        </w:rPr>
        <w:t>(iii</w:t>
      </w:r>
      <w:r w:rsidRPr="00EC7B70">
        <w:rPr>
          <w:rFonts w:ascii="Tahoma" w:hAnsi="Tahoma" w:cs="Tahoma"/>
          <w:sz w:val="28"/>
          <w:szCs w:val="28"/>
        </w:rPr>
        <w:t>)</w:t>
      </w:r>
      <w:r w:rsidRPr="00EC7B70">
        <w:rPr>
          <w:rFonts w:ascii="Tahoma" w:hAnsi="Tahoma" w:cs="Tahoma"/>
          <w:sz w:val="28"/>
          <w:szCs w:val="28"/>
        </w:rPr>
        <w:tab/>
        <w:t>Innovative and integrated approach to drive government revenue through technology to increase actual Independent Revenue by at least 50%;</w:t>
      </w:r>
    </w:p>
    <w:p w:rsidR="00DC24F2" w:rsidRPr="00EC7B70" w:rsidRDefault="00DC24F2" w:rsidP="00DC24F2">
      <w:pPr>
        <w:pStyle w:val="NoSpacing"/>
        <w:spacing w:line="360" w:lineRule="auto"/>
        <w:ind w:left="1440" w:hanging="720"/>
        <w:jc w:val="both"/>
        <w:rPr>
          <w:rFonts w:ascii="Tahoma" w:hAnsi="Tahoma" w:cs="Tahoma"/>
          <w:sz w:val="28"/>
          <w:szCs w:val="28"/>
        </w:rPr>
      </w:pPr>
      <w:r w:rsidRPr="00EC7B70">
        <w:rPr>
          <w:rFonts w:ascii="Tahoma" w:hAnsi="Tahoma" w:cs="Tahoma"/>
          <w:sz w:val="28"/>
          <w:szCs w:val="28"/>
        </w:rPr>
        <w:lastRenderedPageBreak/>
        <w:t>(</w:t>
      </w:r>
      <w:r>
        <w:rPr>
          <w:rFonts w:ascii="Tahoma" w:hAnsi="Tahoma" w:cs="Tahoma"/>
          <w:sz w:val="28"/>
          <w:szCs w:val="28"/>
        </w:rPr>
        <w:t>i</w:t>
      </w:r>
      <w:r w:rsidRPr="00EC7B70">
        <w:rPr>
          <w:rFonts w:ascii="Tahoma" w:hAnsi="Tahoma" w:cs="Tahoma"/>
          <w:sz w:val="28"/>
          <w:szCs w:val="28"/>
        </w:rPr>
        <w:t>v)</w:t>
      </w:r>
      <w:r w:rsidRPr="00EC7B70">
        <w:rPr>
          <w:rFonts w:ascii="Tahoma" w:hAnsi="Tahoma" w:cs="Tahoma"/>
          <w:sz w:val="28"/>
          <w:szCs w:val="28"/>
        </w:rPr>
        <w:tab/>
        <w:t>Improvement in the State’s fiscal performance to enable the State increase its draw-down on Federal Government and internat</w:t>
      </w:r>
      <w:r>
        <w:rPr>
          <w:rFonts w:ascii="Tahoma" w:hAnsi="Tahoma" w:cs="Tahoma"/>
          <w:sz w:val="28"/>
          <w:szCs w:val="28"/>
        </w:rPr>
        <w:t>ional performance-based grants;</w:t>
      </w:r>
    </w:p>
    <w:p w:rsidR="00DC24F2" w:rsidRPr="00EC7B70" w:rsidRDefault="00DC24F2" w:rsidP="00DC24F2">
      <w:pPr>
        <w:pStyle w:val="NoSpacing"/>
        <w:spacing w:line="360" w:lineRule="auto"/>
        <w:ind w:left="1440" w:hanging="720"/>
        <w:jc w:val="both"/>
        <w:rPr>
          <w:rFonts w:ascii="Tahoma" w:hAnsi="Tahoma" w:cs="Tahoma"/>
          <w:sz w:val="28"/>
          <w:szCs w:val="28"/>
        </w:rPr>
      </w:pPr>
      <w:r>
        <w:rPr>
          <w:rFonts w:ascii="Tahoma" w:hAnsi="Tahoma" w:cs="Tahoma"/>
          <w:sz w:val="28"/>
          <w:szCs w:val="28"/>
        </w:rPr>
        <w:t>(v</w:t>
      </w:r>
      <w:r w:rsidRPr="00EC7B70">
        <w:rPr>
          <w:rFonts w:ascii="Tahoma" w:hAnsi="Tahoma" w:cs="Tahoma"/>
          <w:sz w:val="28"/>
          <w:szCs w:val="28"/>
        </w:rPr>
        <w:t>)</w:t>
      </w:r>
      <w:r w:rsidRPr="00EC7B70">
        <w:rPr>
          <w:rFonts w:ascii="Tahoma" w:hAnsi="Tahoma" w:cs="Tahoma"/>
          <w:sz w:val="28"/>
          <w:szCs w:val="28"/>
        </w:rPr>
        <w:tab/>
        <w:t>Sustained investment in infrastructural facilities and resuscitation of ailing/moribund industries in the State;</w:t>
      </w:r>
    </w:p>
    <w:p w:rsidR="00DC24F2" w:rsidRPr="00EC7B70" w:rsidRDefault="00DC24F2" w:rsidP="00DC24F2">
      <w:pPr>
        <w:pStyle w:val="NoSpacing"/>
        <w:spacing w:line="360" w:lineRule="auto"/>
        <w:ind w:left="1440" w:hanging="720"/>
        <w:jc w:val="both"/>
        <w:rPr>
          <w:rFonts w:ascii="Tahoma" w:hAnsi="Tahoma" w:cs="Tahoma"/>
          <w:sz w:val="28"/>
          <w:szCs w:val="28"/>
        </w:rPr>
      </w:pPr>
      <w:r>
        <w:rPr>
          <w:rFonts w:ascii="Tahoma" w:hAnsi="Tahoma" w:cs="Tahoma"/>
          <w:sz w:val="28"/>
          <w:szCs w:val="28"/>
        </w:rPr>
        <w:t>(v</w:t>
      </w:r>
      <w:r w:rsidRPr="00EC7B70">
        <w:rPr>
          <w:rFonts w:ascii="Tahoma" w:hAnsi="Tahoma" w:cs="Tahoma"/>
          <w:sz w:val="28"/>
          <w:szCs w:val="28"/>
        </w:rPr>
        <w:t>i)</w:t>
      </w:r>
      <w:r w:rsidRPr="00EC7B70">
        <w:rPr>
          <w:rFonts w:ascii="Tahoma" w:hAnsi="Tahoma" w:cs="Tahoma"/>
          <w:sz w:val="28"/>
          <w:szCs w:val="28"/>
        </w:rPr>
        <w:tab/>
        <w:t>Robust human Capital Investment Initiatives and Social Security Services.</w:t>
      </w:r>
      <w:r w:rsidRPr="00EC7B70">
        <w:rPr>
          <w:rFonts w:ascii="Tahoma" w:hAnsi="Tahoma" w:cs="Tahoma"/>
          <w:sz w:val="28"/>
          <w:szCs w:val="28"/>
        </w:rPr>
        <w:tab/>
      </w:r>
    </w:p>
    <w:p w:rsidR="00DC24F2" w:rsidRPr="00C30515" w:rsidRDefault="00DC24F2" w:rsidP="00DC24F2">
      <w:pPr>
        <w:pStyle w:val="NoSpacing"/>
        <w:spacing w:line="480" w:lineRule="auto"/>
        <w:jc w:val="both"/>
        <w:rPr>
          <w:rFonts w:ascii="Tahoma" w:hAnsi="Tahoma" w:cs="Tahoma"/>
          <w:b/>
          <w:sz w:val="28"/>
          <w:szCs w:val="28"/>
        </w:rPr>
      </w:pPr>
      <w:r>
        <w:rPr>
          <w:rFonts w:ascii="Tahoma" w:hAnsi="Tahoma" w:cs="Tahoma"/>
          <w:b/>
          <w:sz w:val="28"/>
          <w:szCs w:val="28"/>
        </w:rPr>
        <w:t>1.3</w:t>
      </w:r>
      <w:r w:rsidRPr="00C30515">
        <w:rPr>
          <w:rFonts w:ascii="Tahoma" w:hAnsi="Tahoma" w:cs="Tahoma"/>
          <w:b/>
          <w:sz w:val="28"/>
          <w:szCs w:val="28"/>
        </w:rPr>
        <w:tab/>
        <w:t>STRATEGIES F</w:t>
      </w:r>
      <w:r>
        <w:rPr>
          <w:rFonts w:ascii="Tahoma" w:hAnsi="Tahoma" w:cs="Tahoma"/>
          <w:b/>
          <w:sz w:val="28"/>
          <w:szCs w:val="28"/>
        </w:rPr>
        <w:t>OR ACHIEVING OBJECTIVES OF 2019</w:t>
      </w:r>
      <w:r w:rsidRPr="00C30515">
        <w:rPr>
          <w:rFonts w:ascii="Tahoma" w:hAnsi="Tahoma" w:cs="Tahoma"/>
          <w:b/>
          <w:sz w:val="28"/>
          <w:szCs w:val="28"/>
        </w:rPr>
        <w:tab/>
        <w:t>BUDGET</w:t>
      </w:r>
    </w:p>
    <w:p w:rsidR="00DC24F2" w:rsidRPr="00C30515" w:rsidRDefault="00DC24F2" w:rsidP="00DC24F2">
      <w:pPr>
        <w:pStyle w:val="NoSpacing"/>
        <w:spacing w:line="480" w:lineRule="auto"/>
        <w:jc w:val="both"/>
        <w:rPr>
          <w:rFonts w:ascii="Tahoma" w:hAnsi="Tahoma" w:cs="Tahoma"/>
          <w:b/>
          <w:sz w:val="28"/>
          <w:szCs w:val="28"/>
        </w:rPr>
      </w:pPr>
      <w:r w:rsidRPr="00C30515">
        <w:rPr>
          <w:rFonts w:ascii="Tahoma" w:hAnsi="Tahoma" w:cs="Tahoma"/>
          <w:sz w:val="28"/>
          <w:szCs w:val="28"/>
        </w:rPr>
        <w:t xml:space="preserve"> The Strategies to ac</w:t>
      </w:r>
      <w:r>
        <w:rPr>
          <w:rFonts w:ascii="Tahoma" w:hAnsi="Tahoma" w:cs="Tahoma"/>
          <w:sz w:val="28"/>
          <w:szCs w:val="28"/>
        </w:rPr>
        <w:t>hieve the objectives of the 2019</w:t>
      </w:r>
      <w:r w:rsidRPr="00C30515">
        <w:rPr>
          <w:rFonts w:ascii="Tahoma" w:hAnsi="Tahoma" w:cs="Tahoma"/>
          <w:sz w:val="28"/>
          <w:szCs w:val="28"/>
        </w:rPr>
        <w:t xml:space="preserve"> Budget among others are:</w:t>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t>(i)</w:t>
      </w:r>
      <w:r w:rsidRPr="00C27D56">
        <w:rPr>
          <w:rFonts w:ascii="Tahoma" w:hAnsi="Tahoma" w:cs="Tahoma"/>
          <w:sz w:val="28"/>
          <w:szCs w:val="28"/>
        </w:rPr>
        <w:tab/>
        <w:t>Constitution of Economic Advisory Team and Efficiency Unit for the State;</w:t>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t>(ii)</w:t>
      </w:r>
      <w:r w:rsidRPr="00C27D56">
        <w:rPr>
          <w:rFonts w:ascii="Tahoma" w:hAnsi="Tahoma" w:cs="Tahoma"/>
          <w:sz w:val="28"/>
          <w:szCs w:val="28"/>
        </w:rPr>
        <w:tab/>
        <w:t>Compliance with global best practices in Fiscal Allocation and Management;</w:t>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t>(iii)</w:t>
      </w:r>
      <w:r w:rsidRPr="00C27D56">
        <w:rPr>
          <w:rFonts w:ascii="Tahoma" w:hAnsi="Tahoma" w:cs="Tahoma"/>
          <w:sz w:val="28"/>
          <w:szCs w:val="28"/>
        </w:rPr>
        <w:tab/>
        <w:t>Deployment of ICT to drive Independent Revenue (IR), empower and create wealth for our productive sectors;</w:t>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t>(iv)</w:t>
      </w:r>
      <w:r w:rsidRPr="00C27D56">
        <w:rPr>
          <w:rFonts w:ascii="Tahoma" w:hAnsi="Tahoma" w:cs="Tahoma"/>
          <w:sz w:val="28"/>
          <w:szCs w:val="28"/>
        </w:rPr>
        <w:tab/>
        <w:t>Sustained engagement of revenue consultants to help drive independent revenue generation;</w:t>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t>(v)</w:t>
      </w:r>
      <w:r w:rsidRPr="00C27D56">
        <w:rPr>
          <w:rFonts w:ascii="Tahoma" w:hAnsi="Tahoma" w:cs="Tahoma"/>
          <w:sz w:val="28"/>
          <w:szCs w:val="28"/>
        </w:rPr>
        <w:tab/>
        <w:t xml:space="preserve">Leverage on donor partners support and diaspora monetary inflow; </w:t>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t>(vi)</w:t>
      </w:r>
      <w:r w:rsidRPr="00C27D56">
        <w:rPr>
          <w:rFonts w:ascii="Tahoma" w:hAnsi="Tahoma" w:cs="Tahoma"/>
          <w:sz w:val="28"/>
          <w:szCs w:val="28"/>
        </w:rPr>
        <w:tab/>
        <w:t>Provision of social security services for the elderly and others;</w:t>
      </w:r>
      <w:r w:rsidRPr="00C27D56">
        <w:rPr>
          <w:rFonts w:ascii="Tahoma" w:hAnsi="Tahoma" w:cs="Tahoma"/>
          <w:sz w:val="28"/>
          <w:szCs w:val="28"/>
        </w:rPr>
        <w:tab/>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t>(vii)</w:t>
      </w:r>
      <w:r w:rsidRPr="00C27D56">
        <w:rPr>
          <w:rFonts w:ascii="Tahoma" w:hAnsi="Tahoma" w:cs="Tahoma"/>
          <w:sz w:val="28"/>
          <w:szCs w:val="28"/>
        </w:rPr>
        <w:tab/>
        <w:t>Deliberate investments in agro enterprises, provisions of farm inputs and supply of improved seedlings to farmers to boost food production and generate employment for our youths; and</w:t>
      </w:r>
    </w:p>
    <w:p w:rsidR="00DC24F2" w:rsidRPr="00C27D56" w:rsidRDefault="00DC24F2" w:rsidP="00DC24F2">
      <w:pPr>
        <w:pStyle w:val="NoSpacing"/>
        <w:spacing w:line="360" w:lineRule="auto"/>
        <w:ind w:left="1440" w:hanging="720"/>
        <w:jc w:val="both"/>
        <w:rPr>
          <w:rFonts w:ascii="Tahoma" w:hAnsi="Tahoma" w:cs="Tahoma"/>
          <w:sz w:val="28"/>
          <w:szCs w:val="28"/>
        </w:rPr>
      </w:pPr>
      <w:r w:rsidRPr="00C27D56">
        <w:rPr>
          <w:rFonts w:ascii="Tahoma" w:hAnsi="Tahoma" w:cs="Tahoma"/>
          <w:sz w:val="28"/>
          <w:szCs w:val="28"/>
        </w:rPr>
        <w:lastRenderedPageBreak/>
        <w:t>(viii)</w:t>
      </w:r>
      <w:r w:rsidRPr="00C27D56">
        <w:rPr>
          <w:rFonts w:ascii="Tahoma" w:hAnsi="Tahoma" w:cs="Tahoma"/>
          <w:sz w:val="28"/>
          <w:szCs w:val="28"/>
        </w:rPr>
        <w:tab/>
        <w:t>Continuous opening up of rural feeder roads to enhance hitch free conveyance of farm produce to the market;</w:t>
      </w:r>
    </w:p>
    <w:p w:rsidR="00DC24F2" w:rsidRDefault="00DC24F2" w:rsidP="00DC24F2">
      <w:pPr>
        <w:pStyle w:val="NoSpacing"/>
        <w:spacing w:line="360" w:lineRule="auto"/>
        <w:ind w:firstLine="720"/>
        <w:jc w:val="both"/>
        <w:rPr>
          <w:rFonts w:ascii="Tahoma" w:hAnsi="Tahoma" w:cs="Tahoma"/>
          <w:sz w:val="28"/>
          <w:szCs w:val="28"/>
        </w:rPr>
      </w:pPr>
      <w:r w:rsidRPr="00C27D56">
        <w:rPr>
          <w:rFonts w:ascii="Tahoma" w:hAnsi="Tahoma" w:cs="Tahoma"/>
          <w:sz w:val="28"/>
          <w:szCs w:val="28"/>
        </w:rPr>
        <w:t>(ix)</w:t>
      </w:r>
      <w:r w:rsidRPr="00C27D56">
        <w:rPr>
          <w:rFonts w:ascii="Tahoma" w:hAnsi="Tahoma" w:cs="Tahoma"/>
          <w:sz w:val="28"/>
          <w:szCs w:val="28"/>
        </w:rPr>
        <w:tab/>
        <w:t>Rigorous pursuit of efforts at Industrialising the State.</w:t>
      </w:r>
    </w:p>
    <w:p w:rsidR="00DC24F2" w:rsidRDefault="00DC24F2" w:rsidP="00DC24F2">
      <w:pPr>
        <w:pStyle w:val="NoSpacing"/>
        <w:spacing w:line="360" w:lineRule="auto"/>
        <w:ind w:firstLine="720"/>
        <w:jc w:val="both"/>
        <w:rPr>
          <w:rFonts w:ascii="Tahoma" w:hAnsi="Tahoma" w:cs="Tahoma"/>
          <w:sz w:val="28"/>
          <w:szCs w:val="28"/>
        </w:rPr>
      </w:pPr>
      <w:r>
        <w:rPr>
          <w:rFonts w:ascii="Tahoma" w:hAnsi="Tahoma" w:cs="Tahoma"/>
          <w:sz w:val="28"/>
          <w:szCs w:val="28"/>
        </w:rPr>
        <w:t xml:space="preserve">(x)   </w:t>
      </w:r>
      <w:r w:rsidRPr="00C27D56">
        <w:rPr>
          <w:rFonts w:ascii="Tahoma" w:hAnsi="Tahoma" w:cs="Tahoma"/>
          <w:sz w:val="28"/>
          <w:szCs w:val="28"/>
        </w:rPr>
        <w:t>Ensure safety and security of lives and properties in the State</w:t>
      </w:r>
    </w:p>
    <w:p w:rsidR="00DC24F2" w:rsidRPr="00A9473A" w:rsidRDefault="00DC24F2" w:rsidP="00DC24F2">
      <w:pPr>
        <w:pStyle w:val="NoSpacing"/>
        <w:spacing w:line="360" w:lineRule="auto"/>
        <w:ind w:firstLine="720"/>
        <w:jc w:val="both"/>
        <w:rPr>
          <w:rFonts w:ascii="Tahoma" w:hAnsi="Tahoma" w:cs="Tahoma"/>
          <w:sz w:val="12"/>
          <w:szCs w:val="28"/>
        </w:rPr>
      </w:pPr>
    </w:p>
    <w:p w:rsidR="00DC24F2" w:rsidRDefault="00DC24F2" w:rsidP="00DC24F2">
      <w:pPr>
        <w:pStyle w:val="NoSpacing"/>
        <w:spacing w:line="480" w:lineRule="auto"/>
        <w:jc w:val="both"/>
        <w:rPr>
          <w:rFonts w:ascii="Tahoma" w:hAnsi="Tahoma" w:cs="Tahoma"/>
          <w:b/>
          <w:sz w:val="28"/>
          <w:szCs w:val="28"/>
        </w:rPr>
      </w:pPr>
      <w:r>
        <w:rPr>
          <w:rFonts w:ascii="Tahoma" w:hAnsi="Tahoma" w:cs="Tahoma"/>
          <w:b/>
          <w:sz w:val="28"/>
          <w:szCs w:val="28"/>
        </w:rPr>
        <w:t>1.4</w:t>
      </w:r>
      <w:r>
        <w:rPr>
          <w:rFonts w:ascii="Tahoma" w:hAnsi="Tahoma" w:cs="Tahoma"/>
          <w:b/>
          <w:sz w:val="28"/>
          <w:szCs w:val="28"/>
        </w:rPr>
        <w:tab/>
        <w:t>2019 Fiscal Framework</w:t>
      </w:r>
    </w:p>
    <w:p w:rsidR="00DC24F2" w:rsidRPr="00500A55" w:rsidRDefault="00DC24F2" w:rsidP="00DC24F2">
      <w:pPr>
        <w:pStyle w:val="NoSpacing"/>
        <w:spacing w:line="480" w:lineRule="auto"/>
        <w:jc w:val="both"/>
        <w:rPr>
          <w:rFonts w:ascii="Tahoma" w:hAnsi="Tahoma" w:cs="Tahoma"/>
          <w:sz w:val="28"/>
          <w:szCs w:val="28"/>
        </w:rPr>
      </w:pPr>
      <w:r>
        <w:rPr>
          <w:rFonts w:ascii="Tahoma" w:hAnsi="Tahoma" w:cs="Tahoma"/>
          <w:b/>
          <w:sz w:val="28"/>
          <w:szCs w:val="28"/>
        </w:rPr>
        <w:tab/>
      </w:r>
      <w:r>
        <w:rPr>
          <w:rFonts w:ascii="Tahoma" w:hAnsi="Tahoma" w:cs="Tahoma"/>
          <w:sz w:val="28"/>
          <w:szCs w:val="28"/>
        </w:rPr>
        <w:t>The fiscal framework was premised on the projected aggregate resources available to government to implement its projects/programmes within the fiscal year, which are functions of some macroeconomic assumptions stated as follows:</w:t>
      </w:r>
    </w:p>
    <w:p w:rsidR="00DC24F2" w:rsidRPr="00500A55" w:rsidRDefault="00DC24F2" w:rsidP="00DC24F2">
      <w:pPr>
        <w:pStyle w:val="NoSpacing"/>
        <w:spacing w:line="276" w:lineRule="auto"/>
        <w:ind w:firstLine="720"/>
        <w:jc w:val="both"/>
        <w:rPr>
          <w:rFonts w:ascii="Tahoma" w:hAnsi="Tahoma" w:cs="Tahoma"/>
          <w:sz w:val="28"/>
          <w:szCs w:val="28"/>
        </w:rPr>
      </w:pPr>
      <w:r w:rsidRPr="00500A55">
        <w:rPr>
          <w:rFonts w:ascii="Tahoma" w:hAnsi="Tahoma" w:cs="Tahoma"/>
          <w:sz w:val="28"/>
          <w:szCs w:val="28"/>
        </w:rPr>
        <w:t>GDP Growth (%)</w:t>
      </w:r>
      <w:r w:rsidRPr="00500A55">
        <w:rPr>
          <w:rFonts w:ascii="Tahoma" w:hAnsi="Tahoma" w:cs="Tahoma"/>
          <w:sz w:val="28"/>
          <w:szCs w:val="28"/>
        </w:rPr>
        <w:tab/>
      </w:r>
      <w:r w:rsidRPr="00500A55">
        <w:rPr>
          <w:rFonts w:ascii="Tahoma" w:hAnsi="Tahoma" w:cs="Tahoma"/>
          <w:sz w:val="28"/>
          <w:szCs w:val="28"/>
        </w:rPr>
        <w:tab/>
      </w:r>
      <w:r w:rsidRPr="00500A55">
        <w:rPr>
          <w:rFonts w:ascii="Tahoma" w:hAnsi="Tahoma" w:cs="Tahoma"/>
          <w:sz w:val="28"/>
          <w:szCs w:val="28"/>
        </w:rPr>
        <w:tab/>
      </w:r>
      <w:r w:rsidRPr="00500A55">
        <w:rPr>
          <w:rFonts w:ascii="Tahoma" w:hAnsi="Tahoma" w:cs="Tahoma"/>
          <w:sz w:val="28"/>
          <w:szCs w:val="28"/>
        </w:rPr>
        <w:tab/>
      </w:r>
      <w:r w:rsidRPr="00500A55">
        <w:rPr>
          <w:rFonts w:ascii="Tahoma" w:hAnsi="Tahoma" w:cs="Tahoma"/>
          <w:sz w:val="28"/>
          <w:szCs w:val="28"/>
        </w:rPr>
        <w:tab/>
        <w:t>-</w:t>
      </w:r>
      <w:r w:rsidRPr="00500A55">
        <w:rPr>
          <w:rFonts w:ascii="Tahoma" w:hAnsi="Tahoma" w:cs="Tahoma"/>
          <w:sz w:val="28"/>
          <w:szCs w:val="28"/>
        </w:rPr>
        <w:tab/>
        <w:t>2.30</w:t>
      </w:r>
    </w:p>
    <w:p w:rsidR="00DC24F2" w:rsidRPr="00500A55" w:rsidRDefault="00DC24F2" w:rsidP="00DC24F2">
      <w:pPr>
        <w:pStyle w:val="NoSpacing"/>
        <w:spacing w:line="276" w:lineRule="auto"/>
        <w:ind w:firstLine="720"/>
        <w:jc w:val="both"/>
        <w:rPr>
          <w:rFonts w:ascii="Tahoma" w:hAnsi="Tahoma" w:cs="Tahoma"/>
          <w:sz w:val="28"/>
          <w:szCs w:val="28"/>
        </w:rPr>
      </w:pPr>
      <w:r w:rsidRPr="00500A55">
        <w:rPr>
          <w:rFonts w:ascii="Tahoma" w:hAnsi="Tahoma" w:cs="Tahoma"/>
          <w:sz w:val="28"/>
          <w:szCs w:val="28"/>
        </w:rPr>
        <w:t>Crude Oil Benchmark price per barrel</w:t>
      </w:r>
      <w:r w:rsidRPr="00500A55">
        <w:rPr>
          <w:rFonts w:ascii="Tahoma" w:hAnsi="Tahoma" w:cs="Tahoma"/>
          <w:sz w:val="28"/>
          <w:szCs w:val="28"/>
        </w:rPr>
        <w:tab/>
        <w:t>-</w:t>
      </w:r>
      <w:r w:rsidRPr="00500A55">
        <w:rPr>
          <w:rFonts w:ascii="Tahoma" w:hAnsi="Tahoma" w:cs="Tahoma"/>
          <w:sz w:val="28"/>
          <w:szCs w:val="28"/>
        </w:rPr>
        <w:tab/>
        <w:t>$55</w:t>
      </w:r>
    </w:p>
    <w:p w:rsidR="00DC24F2" w:rsidRPr="00500A55" w:rsidRDefault="00DC24F2" w:rsidP="00DC24F2">
      <w:pPr>
        <w:pStyle w:val="NoSpacing"/>
        <w:spacing w:line="276" w:lineRule="auto"/>
        <w:ind w:firstLine="720"/>
        <w:jc w:val="both"/>
        <w:rPr>
          <w:rFonts w:ascii="Tahoma" w:hAnsi="Tahoma" w:cs="Tahoma"/>
          <w:sz w:val="28"/>
          <w:szCs w:val="28"/>
        </w:rPr>
      </w:pPr>
      <w:r w:rsidRPr="00500A55">
        <w:rPr>
          <w:rFonts w:ascii="Tahoma" w:hAnsi="Tahoma" w:cs="Tahoma"/>
          <w:sz w:val="28"/>
          <w:szCs w:val="28"/>
        </w:rPr>
        <w:t>Average production (million barrel/day)</w:t>
      </w:r>
      <w:r w:rsidRPr="00500A55">
        <w:rPr>
          <w:rFonts w:ascii="Tahoma" w:hAnsi="Tahoma" w:cs="Tahoma"/>
          <w:sz w:val="28"/>
          <w:szCs w:val="28"/>
        </w:rPr>
        <w:tab/>
        <w:t>-</w:t>
      </w:r>
      <w:r w:rsidRPr="00500A55">
        <w:rPr>
          <w:rFonts w:ascii="Tahoma" w:hAnsi="Tahoma" w:cs="Tahoma"/>
          <w:sz w:val="28"/>
          <w:szCs w:val="28"/>
        </w:rPr>
        <w:tab/>
        <w:t>1.60</w:t>
      </w:r>
    </w:p>
    <w:p w:rsidR="00DC24F2" w:rsidRPr="00500A55" w:rsidRDefault="00DC24F2" w:rsidP="00DC24F2">
      <w:pPr>
        <w:pStyle w:val="NoSpacing"/>
        <w:spacing w:line="276" w:lineRule="auto"/>
        <w:ind w:firstLine="720"/>
        <w:jc w:val="both"/>
        <w:rPr>
          <w:rFonts w:ascii="Tahoma" w:hAnsi="Tahoma" w:cs="Tahoma"/>
          <w:sz w:val="28"/>
          <w:szCs w:val="28"/>
        </w:rPr>
      </w:pPr>
      <w:r w:rsidRPr="00500A55">
        <w:rPr>
          <w:rFonts w:ascii="Tahoma" w:hAnsi="Tahoma" w:cs="Tahoma"/>
          <w:sz w:val="28"/>
          <w:szCs w:val="28"/>
        </w:rPr>
        <w:t>Inflation Rate (%)</w:t>
      </w:r>
      <w:r w:rsidRPr="00500A55">
        <w:rPr>
          <w:rFonts w:ascii="Tahoma" w:hAnsi="Tahoma" w:cs="Tahoma"/>
          <w:sz w:val="28"/>
          <w:szCs w:val="28"/>
        </w:rPr>
        <w:tab/>
      </w:r>
      <w:r w:rsidRPr="00500A55">
        <w:rPr>
          <w:rFonts w:ascii="Tahoma" w:hAnsi="Tahoma" w:cs="Tahoma"/>
          <w:sz w:val="28"/>
          <w:szCs w:val="28"/>
        </w:rPr>
        <w:tab/>
      </w:r>
      <w:r w:rsidRPr="00500A55">
        <w:rPr>
          <w:rFonts w:ascii="Tahoma" w:hAnsi="Tahoma" w:cs="Tahoma"/>
          <w:sz w:val="28"/>
          <w:szCs w:val="28"/>
        </w:rPr>
        <w:tab/>
      </w:r>
      <w:r w:rsidRPr="00500A55">
        <w:rPr>
          <w:rFonts w:ascii="Tahoma" w:hAnsi="Tahoma" w:cs="Tahoma"/>
          <w:sz w:val="28"/>
          <w:szCs w:val="28"/>
        </w:rPr>
        <w:tab/>
        <w:t>-</w:t>
      </w:r>
      <w:r w:rsidRPr="00500A55">
        <w:rPr>
          <w:rFonts w:ascii="Tahoma" w:hAnsi="Tahoma" w:cs="Tahoma"/>
          <w:sz w:val="28"/>
          <w:szCs w:val="28"/>
        </w:rPr>
        <w:tab/>
        <w:t>13.5%</w:t>
      </w:r>
    </w:p>
    <w:p w:rsidR="00DC24F2" w:rsidRDefault="00DC24F2" w:rsidP="00DC24F2">
      <w:pPr>
        <w:spacing w:line="480" w:lineRule="auto"/>
        <w:ind w:firstLine="720"/>
        <w:jc w:val="both"/>
        <w:rPr>
          <w:rFonts w:ascii="Tahoma" w:hAnsi="Tahoma" w:cs="Tahoma"/>
          <w:b/>
          <w:sz w:val="28"/>
          <w:szCs w:val="28"/>
        </w:rPr>
      </w:pPr>
      <w:r w:rsidRPr="00500A55">
        <w:rPr>
          <w:rFonts w:ascii="Tahoma" w:hAnsi="Tahoma" w:cs="Tahoma"/>
          <w:sz w:val="28"/>
          <w:szCs w:val="28"/>
        </w:rPr>
        <w:t>Exchange Rate (</w:t>
      </w:r>
      <w:r w:rsidRPr="006C3FA9">
        <w:rPr>
          <w:rFonts w:ascii="Tahoma" w:hAnsi="Tahoma" w:cs="Tahoma"/>
          <w:dstrike/>
          <w:sz w:val="28"/>
          <w:szCs w:val="28"/>
        </w:rPr>
        <w:t>N</w:t>
      </w:r>
      <w:r w:rsidRPr="00500A55">
        <w:rPr>
          <w:rFonts w:ascii="Tahoma" w:hAnsi="Tahoma" w:cs="Tahoma"/>
          <w:sz w:val="28"/>
          <w:szCs w:val="28"/>
        </w:rPr>
        <w:t xml:space="preserve"> to US$)</w:t>
      </w:r>
      <w:r w:rsidRPr="00500A55">
        <w:rPr>
          <w:rFonts w:ascii="Tahoma" w:hAnsi="Tahoma" w:cs="Tahoma"/>
          <w:sz w:val="28"/>
          <w:szCs w:val="28"/>
        </w:rPr>
        <w:tab/>
      </w:r>
      <w:r w:rsidRPr="00500A55">
        <w:rPr>
          <w:rFonts w:ascii="Tahoma" w:hAnsi="Tahoma" w:cs="Tahoma"/>
          <w:sz w:val="28"/>
          <w:szCs w:val="28"/>
        </w:rPr>
        <w:tab/>
      </w:r>
      <w:r w:rsidRPr="00500A55">
        <w:rPr>
          <w:rFonts w:ascii="Tahoma" w:hAnsi="Tahoma" w:cs="Tahoma"/>
          <w:sz w:val="28"/>
          <w:szCs w:val="28"/>
        </w:rPr>
        <w:tab/>
        <w:t>-</w:t>
      </w:r>
      <w:r w:rsidRPr="00500A55">
        <w:rPr>
          <w:rFonts w:ascii="Tahoma" w:hAnsi="Tahoma" w:cs="Tahoma"/>
          <w:sz w:val="28"/>
          <w:szCs w:val="28"/>
        </w:rPr>
        <w:tab/>
        <w:t>305</w:t>
      </w:r>
    </w:p>
    <w:p w:rsidR="00DC24F2" w:rsidRPr="00E70703" w:rsidRDefault="00DC24F2" w:rsidP="00DC24F2">
      <w:pPr>
        <w:spacing w:line="480" w:lineRule="auto"/>
        <w:jc w:val="both"/>
        <w:rPr>
          <w:rFonts w:ascii="Tahoma" w:hAnsi="Tahoma" w:cs="Tahoma"/>
          <w:b/>
          <w:sz w:val="28"/>
          <w:szCs w:val="28"/>
        </w:rPr>
      </w:pPr>
      <w:r>
        <w:rPr>
          <w:rFonts w:ascii="Tahoma" w:hAnsi="Tahoma" w:cs="Tahoma"/>
          <w:b/>
          <w:sz w:val="28"/>
          <w:szCs w:val="28"/>
        </w:rPr>
        <w:t>1.5</w:t>
      </w:r>
      <w:r>
        <w:rPr>
          <w:rFonts w:ascii="Tahoma" w:hAnsi="Tahoma" w:cs="Tahoma"/>
          <w:b/>
          <w:sz w:val="28"/>
          <w:szCs w:val="28"/>
        </w:rPr>
        <w:tab/>
      </w:r>
      <w:r w:rsidRPr="00E70703">
        <w:rPr>
          <w:rFonts w:ascii="Tahoma" w:hAnsi="Tahoma" w:cs="Tahoma"/>
          <w:b/>
          <w:sz w:val="28"/>
          <w:szCs w:val="28"/>
        </w:rPr>
        <w:t xml:space="preserve">METHODOLOGY </w:t>
      </w:r>
    </w:p>
    <w:p w:rsidR="00DC24F2" w:rsidRDefault="00DC24F2" w:rsidP="00DC24F2">
      <w:pPr>
        <w:spacing w:line="480" w:lineRule="auto"/>
        <w:ind w:firstLine="720"/>
        <w:jc w:val="both"/>
        <w:rPr>
          <w:rFonts w:ascii="Tahoma" w:hAnsi="Tahoma" w:cs="Tahoma"/>
          <w:sz w:val="28"/>
          <w:szCs w:val="28"/>
        </w:rPr>
      </w:pPr>
      <w:r w:rsidRPr="00E70703">
        <w:rPr>
          <w:rFonts w:ascii="Tahoma" w:hAnsi="Tahoma" w:cs="Tahoma"/>
          <w:sz w:val="28"/>
          <w:szCs w:val="28"/>
        </w:rPr>
        <w:t>The Methodology adopted in the production of this report draws from a</w:t>
      </w:r>
      <w:r>
        <w:rPr>
          <w:rFonts w:ascii="Tahoma" w:hAnsi="Tahoma" w:cs="Tahoma"/>
          <w:sz w:val="28"/>
          <w:szCs w:val="28"/>
        </w:rPr>
        <w:t xml:space="preserve"> </w:t>
      </w:r>
      <w:r w:rsidRPr="00E70703">
        <w:rPr>
          <w:rFonts w:ascii="Tahoma" w:hAnsi="Tahoma" w:cs="Tahoma"/>
          <w:sz w:val="28"/>
          <w:szCs w:val="28"/>
        </w:rPr>
        <w:t>number of inter</w:t>
      </w:r>
      <w:r>
        <w:rPr>
          <w:rFonts w:ascii="Tahoma" w:hAnsi="Tahoma" w:cs="Tahoma"/>
          <w:sz w:val="28"/>
          <w:szCs w:val="28"/>
        </w:rPr>
        <w:t>-</w:t>
      </w:r>
      <w:r w:rsidRPr="00E70703">
        <w:rPr>
          <w:rFonts w:ascii="Tahoma" w:hAnsi="Tahoma" w:cs="Tahoma"/>
          <w:sz w:val="28"/>
          <w:szCs w:val="28"/>
        </w:rPr>
        <w:t xml:space="preserve">related approaches. </w:t>
      </w:r>
      <w:r>
        <w:rPr>
          <w:rFonts w:ascii="Tahoma" w:hAnsi="Tahoma" w:cs="Tahoma"/>
          <w:sz w:val="28"/>
          <w:szCs w:val="28"/>
        </w:rPr>
        <w:t>A combination of desk review,</w:t>
      </w:r>
      <w:r w:rsidRPr="00E70703">
        <w:rPr>
          <w:rFonts w:ascii="Tahoma" w:hAnsi="Tahoma" w:cs="Tahoma"/>
          <w:sz w:val="28"/>
          <w:szCs w:val="28"/>
        </w:rPr>
        <w:t xml:space="preserve"> d</w:t>
      </w:r>
      <w:r w:rsidRPr="00E70703">
        <w:rPr>
          <w:rFonts w:ascii="Tahoma" w:hAnsi="Tahoma" w:cs="Tahoma"/>
          <w:bCs/>
          <w:sz w:val="28"/>
          <w:szCs w:val="28"/>
        </w:rPr>
        <w:t>ata collection and analysis</w:t>
      </w:r>
      <w:r w:rsidRPr="00E70703">
        <w:rPr>
          <w:rFonts w:ascii="Tahoma" w:hAnsi="Tahoma" w:cs="Tahoma"/>
          <w:sz w:val="28"/>
          <w:szCs w:val="28"/>
        </w:rPr>
        <w:t xml:space="preserve"> were adopted in order to justify budgetary resource allocation. Data were collected through the administration of unifor</w:t>
      </w:r>
      <w:r>
        <w:rPr>
          <w:rFonts w:ascii="Tahoma" w:hAnsi="Tahoma" w:cs="Tahoma"/>
          <w:sz w:val="28"/>
          <w:szCs w:val="28"/>
        </w:rPr>
        <w:t xml:space="preserve">m templates in line with </w:t>
      </w:r>
      <w:r w:rsidRPr="00E70703">
        <w:rPr>
          <w:rFonts w:ascii="Tahoma" w:hAnsi="Tahoma" w:cs="Tahoma"/>
          <w:sz w:val="28"/>
          <w:szCs w:val="28"/>
        </w:rPr>
        <w:t>M&amp;E</w:t>
      </w:r>
      <w:r>
        <w:rPr>
          <w:rFonts w:ascii="Tahoma" w:hAnsi="Tahoma" w:cs="Tahoma"/>
          <w:sz w:val="28"/>
          <w:szCs w:val="28"/>
        </w:rPr>
        <w:t xml:space="preserve"> Framework. These primary level</w:t>
      </w:r>
      <w:r w:rsidRPr="00E70703">
        <w:rPr>
          <w:rFonts w:ascii="Tahoma" w:hAnsi="Tahoma" w:cs="Tahoma"/>
          <w:sz w:val="28"/>
          <w:szCs w:val="28"/>
        </w:rPr>
        <w:t xml:space="preserve"> data were collected from the MEDAs for further assessment, analysis and interpretation.</w:t>
      </w:r>
    </w:p>
    <w:p w:rsidR="00DC24F2" w:rsidRDefault="00DC24F2" w:rsidP="00DC24F2">
      <w:pPr>
        <w:spacing w:line="480" w:lineRule="auto"/>
        <w:ind w:firstLine="720"/>
        <w:jc w:val="both"/>
        <w:rPr>
          <w:rFonts w:ascii="Tahoma" w:hAnsi="Tahoma" w:cs="Tahoma"/>
          <w:sz w:val="28"/>
          <w:szCs w:val="28"/>
        </w:rPr>
      </w:pPr>
    </w:p>
    <w:p w:rsidR="00DC24F2" w:rsidRPr="007264F3" w:rsidRDefault="00DC24F2" w:rsidP="00DC24F2">
      <w:pPr>
        <w:spacing w:line="480" w:lineRule="auto"/>
        <w:jc w:val="both"/>
        <w:rPr>
          <w:rFonts w:ascii="Tahoma" w:hAnsi="Tahoma" w:cs="Tahoma"/>
          <w:sz w:val="28"/>
          <w:szCs w:val="28"/>
        </w:rPr>
      </w:pPr>
      <w:r>
        <w:rPr>
          <w:rFonts w:ascii="Tahoma" w:hAnsi="Tahoma" w:cs="Tahoma"/>
          <w:b/>
          <w:bCs/>
          <w:sz w:val="28"/>
          <w:szCs w:val="28"/>
        </w:rPr>
        <w:lastRenderedPageBreak/>
        <w:t>1.5</w:t>
      </w:r>
      <w:r>
        <w:rPr>
          <w:rFonts w:ascii="Tahoma" w:hAnsi="Tahoma" w:cs="Tahoma"/>
          <w:b/>
          <w:bCs/>
          <w:sz w:val="28"/>
          <w:szCs w:val="28"/>
        </w:rPr>
        <w:tab/>
      </w:r>
      <w:r w:rsidRPr="00E70703">
        <w:rPr>
          <w:rFonts w:ascii="Tahoma" w:hAnsi="Tahoma" w:cs="Tahoma"/>
          <w:b/>
          <w:bCs/>
          <w:sz w:val="28"/>
          <w:szCs w:val="28"/>
        </w:rPr>
        <w:t xml:space="preserve">LIMITATIONS </w:t>
      </w:r>
    </w:p>
    <w:p w:rsidR="00DC24F2" w:rsidRPr="00E70703" w:rsidRDefault="00DC24F2" w:rsidP="00DC24F2">
      <w:pPr>
        <w:spacing w:line="480" w:lineRule="auto"/>
        <w:jc w:val="both"/>
        <w:rPr>
          <w:rFonts w:ascii="Tahoma" w:hAnsi="Tahoma" w:cs="Tahoma"/>
          <w:b/>
          <w:bCs/>
          <w:sz w:val="28"/>
          <w:szCs w:val="28"/>
        </w:rPr>
      </w:pPr>
      <w:r>
        <w:rPr>
          <w:rFonts w:ascii="Tahoma" w:hAnsi="Tahoma" w:cs="Tahoma"/>
          <w:sz w:val="28"/>
          <w:szCs w:val="28"/>
        </w:rPr>
        <w:t>The</w:t>
      </w:r>
      <w:r w:rsidRPr="00E70703">
        <w:rPr>
          <w:rFonts w:ascii="Tahoma" w:hAnsi="Tahoma" w:cs="Tahoma"/>
          <w:sz w:val="28"/>
          <w:szCs w:val="28"/>
        </w:rPr>
        <w:t xml:space="preserve"> limitations encountered during the preparation of the report</w:t>
      </w:r>
      <w:r>
        <w:rPr>
          <w:rFonts w:ascii="Tahoma" w:hAnsi="Tahoma" w:cs="Tahoma"/>
          <w:sz w:val="28"/>
          <w:szCs w:val="28"/>
        </w:rPr>
        <w:t xml:space="preserve"> are</w:t>
      </w:r>
      <w:r w:rsidRPr="00E70703">
        <w:rPr>
          <w:rFonts w:ascii="Tahoma" w:hAnsi="Tahoma" w:cs="Tahoma"/>
          <w:sz w:val="28"/>
          <w:szCs w:val="28"/>
        </w:rPr>
        <w:t>:</w:t>
      </w:r>
    </w:p>
    <w:p w:rsidR="00DC24F2" w:rsidRPr="00E70703" w:rsidRDefault="00DC24F2" w:rsidP="00DC24F2">
      <w:pPr>
        <w:pStyle w:val="ListParagraph"/>
        <w:numPr>
          <w:ilvl w:val="0"/>
          <w:numId w:val="1"/>
        </w:numPr>
        <w:autoSpaceDE w:val="0"/>
        <w:autoSpaceDN w:val="0"/>
        <w:adjustRightInd w:val="0"/>
        <w:spacing w:after="0" w:line="480" w:lineRule="auto"/>
        <w:jc w:val="both"/>
        <w:rPr>
          <w:rFonts w:ascii="Tahoma" w:hAnsi="Tahoma" w:cs="Tahoma"/>
          <w:sz w:val="28"/>
          <w:szCs w:val="28"/>
        </w:rPr>
      </w:pPr>
      <w:r>
        <w:rPr>
          <w:rFonts w:ascii="Tahoma" w:hAnsi="Tahoma" w:cs="Tahoma"/>
          <w:bCs/>
          <w:sz w:val="28"/>
          <w:szCs w:val="28"/>
        </w:rPr>
        <w:t xml:space="preserve">Submission of Returns –Some </w:t>
      </w:r>
      <w:r>
        <w:rPr>
          <w:rFonts w:ascii="Tahoma" w:hAnsi="Tahoma" w:cs="Tahoma"/>
          <w:sz w:val="28"/>
          <w:szCs w:val="28"/>
        </w:rPr>
        <w:t>MEDAs didn’t meet the deadline to which they were</w:t>
      </w:r>
      <w:r w:rsidRPr="00E70703">
        <w:rPr>
          <w:rFonts w:ascii="Tahoma" w:hAnsi="Tahoma" w:cs="Tahoma"/>
          <w:sz w:val="28"/>
          <w:szCs w:val="28"/>
        </w:rPr>
        <w:t xml:space="preserve"> expected to s</w:t>
      </w:r>
      <w:r>
        <w:rPr>
          <w:rFonts w:ascii="Tahoma" w:hAnsi="Tahoma" w:cs="Tahoma"/>
          <w:sz w:val="28"/>
          <w:szCs w:val="28"/>
        </w:rPr>
        <w:t xml:space="preserve">ubmit their returns. This gave unnecessarily burden to the Department to meet up with the timeline for the production of the report. </w:t>
      </w:r>
      <w:r w:rsidRPr="00E70703">
        <w:rPr>
          <w:rFonts w:ascii="Tahoma" w:hAnsi="Tahoma" w:cs="Tahoma"/>
          <w:sz w:val="28"/>
          <w:szCs w:val="28"/>
        </w:rPr>
        <w:t xml:space="preserve"> </w:t>
      </w:r>
    </w:p>
    <w:p w:rsidR="00DC24F2" w:rsidRPr="00E70703" w:rsidRDefault="00DC24F2" w:rsidP="00DC24F2">
      <w:pPr>
        <w:pStyle w:val="ListParagraph"/>
        <w:numPr>
          <w:ilvl w:val="0"/>
          <w:numId w:val="1"/>
        </w:numPr>
        <w:autoSpaceDE w:val="0"/>
        <w:autoSpaceDN w:val="0"/>
        <w:adjustRightInd w:val="0"/>
        <w:spacing w:after="0" w:line="480" w:lineRule="auto"/>
        <w:jc w:val="both"/>
        <w:rPr>
          <w:rFonts w:ascii="Tahoma" w:hAnsi="Tahoma" w:cs="Tahoma"/>
          <w:sz w:val="28"/>
          <w:szCs w:val="28"/>
        </w:rPr>
      </w:pPr>
      <w:r>
        <w:rPr>
          <w:rFonts w:ascii="Tahoma" w:hAnsi="Tahoma" w:cs="Tahoma"/>
          <w:sz w:val="28"/>
          <w:szCs w:val="28"/>
        </w:rPr>
        <w:t>Validation of Data – There were</w:t>
      </w:r>
      <w:r w:rsidRPr="00E70703">
        <w:rPr>
          <w:rFonts w:ascii="Tahoma" w:hAnsi="Tahoma" w:cs="Tahoma"/>
          <w:sz w:val="28"/>
          <w:szCs w:val="28"/>
        </w:rPr>
        <w:t xml:space="preserve"> contra</w:t>
      </w:r>
      <w:r>
        <w:rPr>
          <w:rFonts w:ascii="Tahoma" w:hAnsi="Tahoma" w:cs="Tahoma"/>
          <w:sz w:val="28"/>
          <w:szCs w:val="28"/>
        </w:rPr>
        <w:t>di</w:t>
      </w:r>
      <w:r w:rsidRPr="00E70703">
        <w:rPr>
          <w:rFonts w:ascii="Tahoma" w:hAnsi="Tahoma" w:cs="Tahoma"/>
          <w:sz w:val="28"/>
          <w:szCs w:val="28"/>
        </w:rPr>
        <w:t>ctions in the</w:t>
      </w:r>
      <w:r>
        <w:rPr>
          <w:rFonts w:ascii="Tahoma" w:hAnsi="Tahoma" w:cs="Tahoma"/>
          <w:sz w:val="28"/>
          <w:szCs w:val="28"/>
        </w:rPr>
        <w:t xml:space="preserve"> data rendered by MEDAs, so the Department repeatedly validated the data from</w:t>
      </w:r>
      <w:r w:rsidRPr="00E70703">
        <w:rPr>
          <w:rFonts w:ascii="Tahoma" w:hAnsi="Tahoma" w:cs="Tahoma"/>
          <w:sz w:val="28"/>
          <w:szCs w:val="28"/>
        </w:rPr>
        <w:t xml:space="preserve"> B</w:t>
      </w:r>
      <w:r>
        <w:rPr>
          <w:rFonts w:ascii="Tahoma" w:hAnsi="Tahoma" w:cs="Tahoma"/>
          <w:sz w:val="28"/>
          <w:szCs w:val="28"/>
        </w:rPr>
        <w:t xml:space="preserve">oard of </w:t>
      </w:r>
      <w:r w:rsidRPr="00E70703">
        <w:rPr>
          <w:rFonts w:ascii="Tahoma" w:hAnsi="Tahoma" w:cs="Tahoma"/>
          <w:sz w:val="28"/>
          <w:szCs w:val="28"/>
        </w:rPr>
        <w:t>I</w:t>
      </w:r>
      <w:r>
        <w:rPr>
          <w:rFonts w:ascii="Tahoma" w:hAnsi="Tahoma" w:cs="Tahoma"/>
          <w:sz w:val="28"/>
          <w:szCs w:val="28"/>
        </w:rPr>
        <w:t xml:space="preserve">nternal </w:t>
      </w:r>
      <w:r w:rsidRPr="00E70703">
        <w:rPr>
          <w:rFonts w:ascii="Tahoma" w:hAnsi="Tahoma" w:cs="Tahoma"/>
          <w:sz w:val="28"/>
          <w:szCs w:val="28"/>
        </w:rPr>
        <w:t>R</w:t>
      </w:r>
      <w:r>
        <w:rPr>
          <w:rFonts w:ascii="Tahoma" w:hAnsi="Tahoma" w:cs="Tahoma"/>
          <w:sz w:val="28"/>
          <w:szCs w:val="28"/>
        </w:rPr>
        <w:t>evenue (BIR)</w:t>
      </w:r>
      <w:r w:rsidRPr="00E70703">
        <w:rPr>
          <w:rFonts w:ascii="Tahoma" w:hAnsi="Tahoma" w:cs="Tahoma"/>
          <w:sz w:val="28"/>
          <w:szCs w:val="28"/>
        </w:rPr>
        <w:t xml:space="preserve">, </w:t>
      </w:r>
      <w:r>
        <w:rPr>
          <w:rFonts w:ascii="Tahoma" w:hAnsi="Tahoma" w:cs="Tahoma"/>
          <w:sz w:val="28"/>
          <w:szCs w:val="28"/>
        </w:rPr>
        <w:t>Office of Accountant General (O</w:t>
      </w:r>
      <w:r w:rsidRPr="00E70703">
        <w:rPr>
          <w:rFonts w:ascii="Tahoma" w:hAnsi="Tahoma" w:cs="Tahoma"/>
          <w:sz w:val="28"/>
          <w:szCs w:val="28"/>
        </w:rPr>
        <w:t>AG</w:t>
      </w:r>
      <w:r>
        <w:rPr>
          <w:rFonts w:ascii="Tahoma" w:hAnsi="Tahoma" w:cs="Tahoma"/>
          <w:sz w:val="28"/>
          <w:szCs w:val="28"/>
        </w:rPr>
        <w:t>)</w:t>
      </w:r>
      <w:r w:rsidRPr="00E70703">
        <w:rPr>
          <w:rFonts w:ascii="Tahoma" w:hAnsi="Tahoma" w:cs="Tahoma"/>
          <w:sz w:val="28"/>
          <w:szCs w:val="28"/>
        </w:rPr>
        <w:t xml:space="preserve">, and </w:t>
      </w:r>
      <w:r>
        <w:rPr>
          <w:rFonts w:ascii="Tahoma" w:hAnsi="Tahoma" w:cs="Tahoma"/>
          <w:sz w:val="28"/>
          <w:szCs w:val="28"/>
        </w:rPr>
        <w:t>Debt Management Department (</w:t>
      </w:r>
      <w:r w:rsidRPr="00E70703">
        <w:rPr>
          <w:rFonts w:ascii="Tahoma" w:hAnsi="Tahoma" w:cs="Tahoma"/>
          <w:sz w:val="28"/>
          <w:szCs w:val="28"/>
        </w:rPr>
        <w:t>DMD</w:t>
      </w:r>
      <w:r>
        <w:rPr>
          <w:rFonts w:ascii="Tahoma" w:hAnsi="Tahoma" w:cs="Tahoma"/>
          <w:sz w:val="28"/>
          <w:szCs w:val="28"/>
        </w:rPr>
        <w:t>).</w:t>
      </w:r>
    </w:p>
    <w:p w:rsidR="00DC24F2" w:rsidRPr="005D264A" w:rsidRDefault="00DC24F2" w:rsidP="00DC24F2">
      <w:pPr>
        <w:pStyle w:val="ListParagraph"/>
        <w:numPr>
          <w:ilvl w:val="0"/>
          <w:numId w:val="1"/>
        </w:numPr>
        <w:autoSpaceDE w:val="0"/>
        <w:autoSpaceDN w:val="0"/>
        <w:adjustRightInd w:val="0"/>
        <w:spacing w:after="0" w:line="480" w:lineRule="auto"/>
        <w:jc w:val="both"/>
        <w:rPr>
          <w:rFonts w:ascii="Tahoma" w:hAnsi="Tahoma" w:cs="Tahoma"/>
          <w:sz w:val="28"/>
          <w:szCs w:val="28"/>
        </w:rPr>
      </w:pPr>
      <w:r w:rsidRPr="00E70703">
        <w:rPr>
          <w:rFonts w:ascii="Tahoma" w:hAnsi="Tahoma" w:cs="Tahoma"/>
          <w:sz w:val="28"/>
          <w:szCs w:val="28"/>
        </w:rPr>
        <w:t xml:space="preserve">Untimely Release of Fund – </w:t>
      </w:r>
      <w:r>
        <w:rPr>
          <w:rFonts w:ascii="Tahoma" w:hAnsi="Tahoma" w:cs="Tahoma"/>
          <w:sz w:val="28"/>
          <w:szCs w:val="28"/>
        </w:rPr>
        <w:t>Untimely release of fund is still a critical challenge to the timely production of the report.</w:t>
      </w:r>
    </w:p>
    <w:p w:rsidR="00DC24F2" w:rsidRDefault="00DC24F2" w:rsidP="00DC24F2">
      <w:pPr>
        <w:spacing w:line="480" w:lineRule="auto"/>
        <w:rPr>
          <w:rFonts w:ascii="Tahoma" w:hAnsi="Tahoma" w:cs="Tahoma"/>
          <w:b/>
          <w:sz w:val="28"/>
          <w:szCs w:val="28"/>
        </w:rPr>
      </w:pPr>
      <w:r w:rsidRPr="00FA47C4">
        <w:rPr>
          <w:rFonts w:ascii="Tahoma" w:hAnsi="Tahoma" w:cs="Tahoma"/>
          <w:b/>
          <w:sz w:val="28"/>
          <w:szCs w:val="28"/>
        </w:rPr>
        <w:t>1.6</w:t>
      </w:r>
      <w:r w:rsidRPr="00FA47C4">
        <w:rPr>
          <w:rFonts w:ascii="Tahoma" w:hAnsi="Tahoma" w:cs="Tahoma"/>
          <w:b/>
          <w:sz w:val="28"/>
          <w:szCs w:val="28"/>
        </w:rPr>
        <w:tab/>
      </w:r>
      <w:r>
        <w:rPr>
          <w:rFonts w:ascii="Tahoma" w:hAnsi="Tahoma" w:cs="Tahoma"/>
          <w:b/>
          <w:sz w:val="28"/>
          <w:szCs w:val="28"/>
        </w:rPr>
        <w:t>SCOPE OF THE REPORT</w:t>
      </w:r>
    </w:p>
    <w:p w:rsidR="00DC24F2" w:rsidRDefault="00DC24F2" w:rsidP="00DC24F2">
      <w:pPr>
        <w:spacing w:line="480" w:lineRule="auto"/>
        <w:jc w:val="both"/>
      </w:pPr>
      <w:r>
        <w:rPr>
          <w:rFonts w:ascii="Tahoma" w:hAnsi="Tahoma" w:cs="Tahoma"/>
          <w:sz w:val="28"/>
          <w:szCs w:val="28"/>
        </w:rPr>
        <w:t>The scope of the budget appraisal covers the revenue and expenditure profiles of the State, and it apparently highlights all the contracts awarded through the State Tenders Board from January to March, being the first quarter of the year 2019.</w:t>
      </w:r>
    </w:p>
    <w:p w:rsidR="003C5315" w:rsidRDefault="003C5315"/>
    <w:p w:rsidR="00DC24F2" w:rsidRDefault="00DC24F2"/>
    <w:p w:rsidR="00DC24F2" w:rsidRDefault="00DC24F2"/>
    <w:p w:rsidR="00DC24F2" w:rsidRDefault="00DC24F2"/>
    <w:p w:rsidR="00DC24F2" w:rsidRPr="001106E2" w:rsidRDefault="00DC24F2" w:rsidP="00DC24F2">
      <w:pPr>
        <w:spacing w:after="0" w:line="360" w:lineRule="auto"/>
        <w:jc w:val="center"/>
        <w:rPr>
          <w:rFonts w:ascii="Tahoma" w:hAnsi="Tahoma" w:cs="Tahoma"/>
          <w:b/>
          <w:sz w:val="28"/>
          <w:szCs w:val="28"/>
          <w:lang w:val="en-CA"/>
        </w:rPr>
      </w:pPr>
      <w:r>
        <w:lastRenderedPageBreak/>
        <w:t xml:space="preserve">  </w:t>
      </w:r>
      <w:r w:rsidRPr="001106E2">
        <w:rPr>
          <w:rFonts w:ascii="Tahoma" w:hAnsi="Tahoma" w:cs="Tahoma"/>
          <w:b/>
          <w:sz w:val="28"/>
          <w:szCs w:val="28"/>
          <w:lang w:val="en-CA"/>
        </w:rPr>
        <w:t>CHAPTER TWO</w:t>
      </w:r>
    </w:p>
    <w:p w:rsidR="00DC24F2" w:rsidRDefault="00DC24F2" w:rsidP="00DC24F2">
      <w:pPr>
        <w:spacing w:after="0" w:line="360" w:lineRule="auto"/>
        <w:rPr>
          <w:rFonts w:ascii="Tahoma" w:hAnsi="Tahoma" w:cs="Tahoma"/>
          <w:b/>
          <w:sz w:val="28"/>
          <w:szCs w:val="28"/>
          <w:lang w:val="en-CA"/>
        </w:rPr>
      </w:pPr>
      <w:r w:rsidRPr="001106E2">
        <w:rPr>
          <w:rFonts w:ascii="Tahoma" w:hAnsi="Tahoma" w:cs="Tahoma"/>
          <w:b/>
          <w:sz w:val="28"/>
          <w:szCs w:val="28"/>
          <w:lang w:val="en-CA"/>
        </w:rPr>
        <w:t>2.1</w:t>
      </w:r>
      <w:r w:rsidRPr="001106E2">
        <w:rPr>
          <w:rFonts w:ascii="Tahoma" w:hAnsi="Tahoma" w:cs="Tahoma"/>
          <w:b/>
          <w:sz w:val="28"/>
          <w:szCs w:val="28"/>
          <w:lang w:val="en-CA"/>
        </w:rPr>
        <w:tab/>
        <w:t>REVENUE PROFILE AND ANALYSIS</w:t>
      </w:r>
    </w:p>
    <w:p w:rsidR="00DC24F2" w:rsidRPr="001106E2" w:rsidRDefault="00DC24F2" w:rsidP="00DC24F2">
      <w:pPr>
        <w:spacing w:after="0" w:line="360" w:lineRule="auto"/>
        <w:rPr>
          <w:rFonts w:ascii="Tahoma" w:hAnsi="Tahoma" w:cs="Tahoma"/>
          <w:b/>
          <w:sz w:val="28"/>
          <w:szCs w:val="28"/>
          <w:lang w:val="en-CA"/>
        </w:rPr>
      </w:pPr>
      <w:r>
        <w:rPr>
          <w:rFonts w:ascii="Tahoma" w:hAnsi="Tahoma" w:cs="Tahoma"/>
          <w:b/>
          <w:sz w:val="28"/>
          <w:szCs w:val="28"/>
          <w:lang w:val="en-CA"/>
        </w:rPr>
        <w:t>2.1.1</w:t>
      </w:r>
      <w:r>
        <w:rPr>
          <w:rFonts w:ascii="Tahoma" w:hAnsi="Tahoma" w:cs="Tahoma"/>
          <w:b/>
          <w:sz w:val="28"/>
          <w:szCs w:val="28"/>
          <w:lang w:val="en-CA"/>
        </w:rPr>
        <w:tab/>
        <w:t xml:space="preserve"> 2019 First Quarter Revenue  </w:t>
      </w:r>
    </w:p>
    <w:p w:rsidR="00DC24F2" w:rsidRPr="00246CF6" w:rsidRDefault="00DC24F2" w:rsidP="00DC24F2">
      <w:pPr>
        <w:spacing w:after="0" w:line="360" w:lineRule="auto"/>
        <w:ind w:firstLine="720"/>
        <w:jc w:val="both"/>
        <w:rPr>
          <w:rFonts w:ascii="Tahoma" w:hAnsi="Tahoma" w:cs="Tahoma"/>
          <w:sz w:val="8"/>
          <w:szCs w:val="28"/>
          <w:lang w:val="en-CA"/>
        </w:rPr>
      </w:pPr>
      <w:r>
        <w:rPr>
          <w:rFonts w:ascii="Tahoma" w:hAnsi="Tahoma" w:cs="Tahoma"/>
          <w:sz w:val="28"/>
          <w:szCs w:val="28"/>
          <w:lang w:val="en-CA"/>
        </w:rPr>
        <w:t>Table 2.1</w:t>
      </w:r>
      <w:r w:rsidRPr="001106E2">
        <w:rPr>
          <w:rFonts w:ascii="Tahoma" w:hAnsi="Tahoma" w:cs="Tahoma"/>
          <w:sz w:val="28"/>
          <w:szCs w:val="28"/>
          <w:lang w:val="en-CA"/>
        </w:rPr>
        <w:t xml:space="preserve"> shows the details of the Revenue inflow to the State </w:t>
      </w:r>
      <w:r>
        <w:rPr>
          <w:rFonts w:ascii="Tahoma" w:hAnsi="Tahoma" w:cs="Tahoma"/>
          <w:sz w:val="28"/>
          <w:szCs w:val="28"/>
          <w:lang w:val="en-CA"/>
        </w:rPr>
        <w:t>from all sources in the first quarter of the year 2019</w:t>
      </w:r>
      <w:r w:rsidRPr="001106E2">
        <w:rPr>
          <w:rFonts w:ascii="Tahoma" w:hAnsi="Tahoma" w:cs="Tahoma"/>
          <w:sz w:val="28"/>
          <w:szCs w:val="28"/>
          <w:lang w:val="en-CA"/>
        </w:rPr>
        <w:t>.</w:t>
      </w:r>
      <w:r>
        <w:rPr>
          <w:rFonts w:ascii="Tahoma" w:hAnsi="Tahoma" w:cs="Tahoma"/>
          <w:sz w:val="28"/>
          <w:szCs w:val="28"/>
          <w:lang w:val="en-CA"/>
        </w:rPr>
        <w:t xml:space="preserve"> </w:t>
      </w:r>
    </w:p>
    <w:p w:rsidR="00DC24F2" w:rsidRDefault="00DC24F2" w:rsidP="00DC24F2">
      <w:pPr>
        <w:spacing w:after="0" w:line="360" w:lineRule="auto"/>
        <w:jc w:val="both"/>
        <w:rPr>
          <w:rFonts w:ascii="Tahoma" w:hAnsi="Tahoma" w:cs="Tahoma"/>
          <w:sz w:val="28"/>
          <w:szCs w:val="28"/>
          <w:lang w:val="en-CA"/>
        </w:rPr>
      </w:pPr>
      <w:r w:rsidRPr="001106E2">
        <w:rPr>
          <w:rFonts w:ascii="Tahoma" w:hAnsi="Tahoma" w:cs="Tahoma"/>
          <w:b/>
          <w:sz w:val="26"/>
          <w:szCs w:val="26"/>
          <w:lang w:val="en-CA"/>
        </w:rPr>
        <w:t xml:space="preserve">Table 2.1: </w:t>
      </w:r>
      <w:r w:rsidR="003B2831">
        <w:rPr>
          <w:rFonts w:ascii="Tahoma" w:hAnsi="Tahoma" w:cs="Tahoma"/>
          <w:b/>
          <w:sz w:val="26"/>
          <w:szCs w:val="26"/>
          <w:lang w:val="en-CA"/>
        </w:rPr>
        <w:t xml:space="preserve">2019 </w:t>
      </w:r>
      <w:r>
        <w:rPr>
          <w:rFonts w:ascii="Tahoma" w:hAnsi="Tahoma" w:cs="Tahoma"/>
          <w:b/>
          <w:sz w:val="28"/>
          <w:szCs w:val="28"/>
          <w:lang w:val="en-CA"/>
        </w:rPr>
        <w:t xml:space="preserve">First Quarter </w:t>
      </w:r>
      <w:r w:rsidRPr="001106E2">
        <w:rPr>
          <w:rFonts w:ascii="Tahoma" w:hAnsi="Tahoma" w:cs="Tahoma"/>
          <w:b/>
          <w:sz w:val="28"/>
          <w:szCs w:val="28"/>
          <w:lang w:val="en-CA"/>
        </w:rPr>
        <w:t xml:space="preserve">Revenue </w:t>
      </w:r>
      <w:r>
        <w:rPr>
          <w:rFonts w:ascii="Tahoma" w:hAnsi="Tahoma" w:cs="Tahoma"/>
          <w:b/>
          <w:sz w:val="28"/>
          <w:szCs w:val="28"/>
          <w:lang w:val="en-CA"/>
        </w:rPr>
        <w:t>Details</w:t>
      </w:r>
    </w:p>
    <w:tbl>
      <w:tblPr>
        <w:tblStyle w:val="GridTable5Dark-Accent6"/>
        <w:tblW w:w="9918" w:type="dxa"/>
        <w:tblLayout w:type="fixed"/>
        <w:tblLook w:val="04A0" w:firstRow="1" w:lastRow="0" w:firstColumn="1" w:lastColumn="0" w:noHBand="0" w:noVBand="1"/>
      </w:tblPr>
      <w:tblGrid>
        <w:gridCol w:w="523"/>
        <w:gridCol w:w="2449"/>
        <w:gridCol w:w="1985"/>
        <w:gridCol w:w="1842"/>
        <w:gridCol w:w="1843"/>
        <w:gridCol w:w="1276"/>
      </w:tblGrid>
      <w:tr w:rsidR="00DC24F2" w:rsidRPr="00DC24F2" w:rsidTr="00DC24F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3" w:type="dxa"/>
            <w:vMerge w:val="restart"/>
            <w:hideMark/>
          </w:tcPr>
          <w:p w:rsidR="00DC24F2" w:rsidRPr="00DC24F2" w:rsidRDefault="00DC24F2" w:rsidP="00DC24F2">
            <w:pPr>
              <w:spacing w:after="0" w:line="240" w:lineRule="auto"/>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2449" w:type="dxa"/>
            <w:vMerge w:val="restart"/>
            <w:hideMark/>
          </w:tcPr>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DC24F2">
              <w:rPr>
                <w:rFonts w:ascii="Calibri" w:eastAsia="Times New Roman" w:hAnsi="Calibri" w:cs="Times New Roman"/>
                <w:color w:val="000000"/>
                <w:sz w:val="18"/>
                <w:szCs w:val="18"/>
              </w:rPr>
              <w:t>Revenue Sources</w:t>
            </w:r>
          </w:p>
        </w:tc>
        <w:tc>
          <w:tcPr>
            <w:tcW w:w="1985" w:type="dxa"/>
            <w:vMerge w:val="restart"/>
            <w:hideMark/>
          </w:tcPr>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2019 Approved Targets </w:t>
            </w:r>
          </w:p>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dstrike/>
                <w:color w:val="000000"/>
                <w:sz w:val="18"/>
                <w:szCs w:val="18"/>
              </w:rPr>
            </w:pPr>
            <w:r w:rsidRPr="00DC24F2">
              <w:rPr>
                <w:rFonts w:ascii="Calibri" w:eastAsia="Times New Roman" w:hAnsi="Calibri" w:cs="Times New Roman"/>
                <w:dstrike/>
                <w:color w:val="000000"/>
                <w:sz w:val="18"/>
                <w:szCs w:val="18"/>
              </w:rPr>
              <w:t>N</w:t>
            </w:r>
          </w:p>
        </w:tc>
        <w:tc>
          <w:tcPr>
            <w:tcW w:w="1842" w:type="dxa"/>
            <w:vMerge w:val="restart"/>
            <w:hideMark/>
          </w:tcPr>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1st Quarter   Target</w:t>
            </w:r>
          </w:p>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DC24F2">
              <w:rPr>
                <w:rFonts w:ascii="Calibri" w:eastAsia="Times New Roman" w:hAnsi="Calibri" w:cs="Times New Roman"/>
                <w:dstrike/>
                <w:color w:val="000000"/>
                <w:sz w:val="18"/>
                <w:szCs w:val="18"/>
              </w:rPr>
              <w:t>N</w:t>
            </w:r>
            <w:r w:rsidRPr="00DC24F2">
              <w:rPr>
                <w:rFonts w:ascii="Calibri" w:eastAsia="Times New Roman" w:hAnsi="Calibri" w:cs="Times New Roman"/>
                <w:color w:val="000000"/>
                <w:sz w:val="18"/>
                <w:szCs w:val="18"/>
              </w:rPr>
              <w:t xml:space="preserve"> </w:t>
            </w:r>
          </w:p>
        </w:tc>
        <w:tc>
          <w:tcPr>
            <w:tcW w:w="1843" w:type="dxa"/>
            <w:vMerge w:val="restart"/>
            <w:hideMark/>
          </w:tcPr>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1st Quarter Actual</w:t>
            </w:r>
          </w:p>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DC24F2">
              <w:rPr>
                <w:rFonts w:ascii="Calibri" w:eastAsia="Times New Roman" w:hAnsi="Calibri" w:cs="Times New Roman"/>
                <w:dstrike/>
                <w:color w:val="000000"/>
                <w:sz w:val="18"/>
                <w:szCs w:val="18"/>
              </w:rPr>
              <w:t>N</w:t>
            </w:r>
          </w:p>
        </w:tc>
        <w:tc>
          <w:tcPr>
            <w:tcW w:w="1276" w:type="dxa"/>
            <w:vMerge w:val="restart"/>
            <w:hideMark/>
          </w:tcPr>
          <w:p w:rsidR="00DC24F2" w:rsidRP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DC24F2">
              <w:rPr>
                <w:rFonts w:ascii="Calibri" w:eastAsia="Times New Roman" w:hAnsi="Calibri" w:cs="Times New Roman"/>
                <w:color w:val="000000"/>
                <w:sz w:val="18"/>
                <w:szCs w:val="18"/>
              </w:rPr>
              <w:t xml:space="preserve"> Performance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3" w:type="dxa"/>
            <w:vMerge/>
            <w:hideMark/>
          </w:tcPr>
          <w:p w:rsidR="00DC24F2" w:rsidRPr="00DC24F2" w:rsidRDefault="00DC24F2" w:rsidP="00DC24F2">
            <w:pPr>
              <w:spacing w:after="0" w:line="240" w:lineRule="auto"/>
              <w:rPr>
                <w:rFonts w:ascii="Calibri" w:eastAsia="Times New Roman" w:hAnsi="Calibri" w:cs="Times New Roman"/>
                <w:color w:val="000000"/>
                <w:sz w:val="18"/>
                <w:szCs w:val="18"/>
              </w:rPr>
            </w:pPr>
          </w:p>
        </w:tc>
        <w:tc>
          <w:tcPr>
            <w:tcW w:w="2449" w:type="dxa"/>
            <w:vMerge/>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p>
        </w:tc>
        <w:tc>
          <w:tcPr>
            <w:tcW w:w="1985" w:type="dxa"/>
            <w:vMerge/>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p>
        </w:tc>
        <w:tc>
          <w:tcPr>
            <w:tcW w:w="1842" w:type="dxa"/>
            <w:vMerge/>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p>
        </w:tc>
        <w:tc>
          <w:tcPr>
            <w:tcW w:w="1843" w:type="dxa"/>
            <w:vMerge/>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p>
        </w:tc>
        <w:tc>
          <w:tcPr>
            <w:tcW w:w="1276" w:type="dxa"/>
            <w:vMerge/>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(A)</w:t>
            </w:r>
          </w:p>
        </w:tc>
        <w:tc>
          <w:tcPr>
            <w:tcW w:w="2449" w:type="dxa"/>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Revenue from Federation Account</w:t>
            </w:r>
          </w:p>
        </w:tc>
        <w:tc>
          <w:tcPr>
            <w:tcW w:w="1985"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1842"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w:t>
            </w:r>
          </w:p>
        </w:tc>
        <w:tc>
          <w:tcPr>
            <w:tcW w:w="1843" w:type="dxa"/>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w:t>
            </w:r>
          </w:p>
        </w:tc>
        <w:tc>
          <w:tcPr>
            <w:tcW w:w="1276" w:type="dxa"/>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Statutory Allocation</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47,548,509,199.70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11,887,127,299.93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8,828,288,301.34</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74.27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ii.</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Share of Value Added Tax</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13,018,742,127.00</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3,254,685,531.75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3,219,477,968.42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98.92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iii.</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Mineral Derivation Fund</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17,671,343,589.00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4,417,835,897.25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3,680,909,143.35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83.32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iv.</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Budget Support Facility Loan</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v.</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Exchange Gain</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840,000,000.00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210,000,000.00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13,512,097.91</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6.43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vi.</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Excess Petroleum Profit Tax</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vii.</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Refund on Federal Roads</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4,300,000,000.00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1,075,000,000.00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viii.</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Forex Stabilization Account </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2,315,514,000.00</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578,878,500.00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409,311,677.92</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70.71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ix.</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Withholding Tax Refund From FGN</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9,600,000,000.00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2,400,000,000.00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Sub-total</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95,294,108,915.70</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23,823,527,228.93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16,151,499,188.94</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18"/>
                <w:szCs w:val="18"/>
              </w:rPr>
            </w:pPr>
            <w:r w:rsidRPr="00DC24F2">
              <w:rPr>
                <w:rFonts w:ascii="Calibri" w:eastAsia="Times New Roman" w:hAnsi="Calibri" w:cs="Times New Roman"/>
                <w:color w:val="000000"/>
                <w:sz w:val="18"/>
                <w:szCs w:val="18"/>
              </w:rPr>
              <w:t xml:space="preserve">       </w:t>
            </w:r>
            <w:r w:rsidRPr="00DC24F2">
              <w:rPr>
                <w:rFonts w:ascii="Calibri" w:eastAsia="Times New Roman" w:hAnsi="Calibri" w:cs="Times New Roman"/>
                <w:b/>
                <w:color w:val="000000"/>
                <w:sz w:val="18"/>
                <w:szCs w:val="18"/>
              </w:rPr>
              <w:t xml:space="preserve">67.80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b w:val="0"/>
                <w:bCs w:val="0"/>
                <w:color w:val="000000"/>
                <w:sz w:val="18"/>
                <w:szCs w:val="18"/>
              </w:rPr>
            </w:pPr>
            <w:r w:rsidRPr="00DC24F2">
              <w:rPr>
                <w:rFonts w:ascii="Calibri" w:eastAsia="Times New Roman" w:hAnsi="Calibri" w:cs="Times New Roman"/>
                <w:color w:val="000000"/>
                <w:sz w:val="18"/>
                <w:szCs w:val="18"/>
              </w:rPr>
              <w:t>(B)</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Independent Revenue</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BIR</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15,270,000,000.00 </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3,817,500,000.00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2,583,033,502.67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67.66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ii.</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MEDAs</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9,852,729,946.62 </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2,463,182,486.66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852,540,466.03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34.61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b w:val="0"/>
                <w:bCs w:val="0"/>
                <w:color w:val="000000"/>
                <w:sz w:val="18"/>
                <w:szCs w:val="18"/>
              </w:rPr>
            </w:pPr>
            <w:r w:rsidRPr="00DC24F2">
              <w:rPr>
                <w:rFonts w:ascii="Calibri" w:eastAsia="Times New Roman" w:hAnsi="Calibri" w:cs="Times New Roman"/>
                <w:color w:val="000000"/>
                <w:sz w:val="18"/>
                <w:szCs w:val="18"/>
              </w:rPr>
              <w:t> </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Sub-total without (RRA)</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25,122,729,946.62 </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6,280,682,486.66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3,435,573,968.70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54.70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iii.</w:t>
            </w:r>
          </w:p>
        </w:tc>
        <w:tc>
          <w:tcPr>
            <w:tcW w:w="2449" w:type="dxa"/>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Revenue Retaining Agencies (RRA)</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1,762,525,029.57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Sub-total</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25,122,729,946.62 </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6,280,682,486.66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5,198,098,998.27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82.76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b w:val="0"/>
                <w:bCs w:val="0"/>
                <w:color w:val="000000"/>
                <w:sz w:val="18"/>
                <w:szCs w:val="18"/>
              </w:rPr>
            </w:pPr>
            <w:r w:rsidRPr="00DC24F2">
              <w:rPr>
                <w:rFonts w:ascii="Calibri" w:eastAsia="Times New Roman" w:hAnsi="Calibri" w:cs="Times New Roman"/>
                <w:color w:val="000000"/>
                <w:sz w:val="18"/>
                <w:szCs w:val="18"/>
              </w:rPr>
              <w:t>(C)</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Other Revenue Sources</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Rollover Fund (Fixed Deposit Recall)</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8,548,882,321.03</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2,137,220,580.26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2,900,115,863.37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135.70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ii.</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Bond</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30,000,000,000.00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7,500,000,000.00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iii.</w:t>
            </w:r>
          </w:p>
        </w:tc>
        <w:tc>
          <w:tcPr>
            <w:tcW w:w="2449" w:type="dxa"/>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Credit from Development Partners</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16,327,742,334.00</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4,081,935,583.50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478,019,139.89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11.71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iv.</w:t>
            </w:r>
          </w:p>
        </w:tc>
        <w:tc>
          <w:tcPr>
            <w:tcW w:w="2449" w:type="dxa"/>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Grants from Donor Agencies</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13,650,326,429.27</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3,412,581,607.32 </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3,075,360.00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0.09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v.</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Short Term Borrowings</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4,959,109,053.38</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1,239,777,263.35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700,000,000.00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56.46</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jc w:val="center"/>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vi.</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Excess Bank Charges</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53,280,274.91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Sub-total</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73,486,060,137.68</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18,371,515,034.42 </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  4,134,490,638.17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18"/>
                <w:szCs w:val="18"/>
              </w:rPr>
            </w:pPr>
            <w:r w:rsidRPr="00DC24F2">
              <w:rPr>
                <w:rFonts w:ascii="Calibri" w:eastAsia="Times New Roman" w:hAnsi="Calibri" w:cs="Times New Roman"/>
                <w:b/>
                <w:color w:val="000000"/>
                <w:sz w:val="18"/>
                <w:szCs w:val="18"/>
              </w:rPr>
              <w:t xml:space="preserve">       22.50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Total</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193,902,899,000.00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48,475,724,750.00</w:t>
            </w:r>
          </w:p>
        </w:tc>
        <w:tc>
          <w:tcPr>
            <w:tcW w:w="1843"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25,484,088,825.38</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DC24F2">
              <w:rPr>
                <w:rFonts w:ascii="Calibri" w:eastAsia="Times New Roman" w:hAnsi="Calibri" w:cs="Times New Roman"/>
                <w:b/>
                <w:color w:val="000000"/>
                <w:sz w:val="18"/>
                <w:szCs w:val="18"/>
              </w:rPr>
              <w:t xml:space="preserve">       52.57 </w:t>
            </w:r>
          </w:p>
        </w:tc>
      </w:tr>
      <w:tr w:rsidR="00DC24F2" w:rsidRPr="00DC24F2" w:rsidTr="00DC24F2">
        <w:trPr>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2449" w:type="dxa"/>
            <w:noWrap/>
            <w:hideMark/>
          </w:tcPr>
          <w:p w:rsidR="00DC24F2" w:rsidRPr="00DC24F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Less (RRA)</w:t>
            </w:r>
          </w:p>
        </w:tc>
        <w:tc>
          <w:tcPr>
            <w:tcW w:w="1985"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w:t>
            </w:r>
          </w:p>
        </w:tc>
        <w:tc>
          <w:tcPr>
            <w:tcW w:w="1842" w:type="dxa"/>
            <w:noWrap/>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w:t>
            </w:r>
          </w:p>
        </w:tc>
        <w:tc>
          <w:tcPr>
            <w:tcW w:w="1843"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1,762,525,029.57 </w:t>
            </w:r>
          </w:p>
        </w:tc>
        <w:tc>
          <w:tcPr>
            <w:tcW w:w="1276" w:type="dxa"/>
            <w:hideMark/>
          </w:tcPr>
          <w:p w:rsidR="00DC24F2" w:rsidRPr="00DC24F2"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xml:space="preserve">   </w:t>
            </w:r>
          </w:p>
        </w:tc>
      </w:tr>
      <w:tr w:rsidR="00DC24F2" w:rsidRPr="00DC24F2" w:rsidTr="00DC24F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23" w:type="dxa"/>
            <w:noWrap/>
            <w:hideMark/>
          </w:tcPr>
          <w:p w:rsidR="00DC24F2" w:rsidRPr="00DC24F2" w:rsidRDefault="00DC24F2" w:rsidP="00DC24F2">
            <w:pPr>
              <w:spacing w:after="0" w:line="240" w:lineRule="auto"/>
              <w:rPr>
                <w:rFonts w:ascii="Calibri" w:eastAsia="Times New Roman" w:hAnsi="Calibri" w:cs="Times New Roman"/>
                <w:color w:val="000000"/>
                <w:sz w:val="18"/>
                <w:szCs w:val="18"/>
              </w:rPr>
            </w:pPr>
            <w:r w:rsidRPr="00DC24F2">
              <w:rPr>
                <w:rFonts w:ascii="Calibri" w:eastAsia="Times New Roman" w:hAnsi="Calibri" w:cs="Times New Roman"/>
                <w:color w:val="000000"/>
                <w:sz w:val="18"/>
                <w:szCs w:val="18"/>
              </w:rPr>
              <w:t> </w:t>
            </w:r>
          </w:p>
        </w:tc>
        <w:tc>
          <w:tcPr>
            <w:tcW w:w="2449" w:type="dxa"/>
            <w:noWrap/>
            <w:hideMark/>
          </w:tcPr>
          <w:p w:rsidR="00DC24F2" w:rsidRPr="00DC24F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GRAND TOTAL</w:t>
            </w:r>
          </w:p>
        </w:tc>
        <w:tc>
          <w:tcPr>
            <w:tcW w:w="1985"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193,902,899,000.00</w:t>
            </w:r>
          </w:p>
        </w:tc>
        <w:tc>
          <w:tcPr>
            <w:tcW w:w="1842" w:type="dxa"/>
            <w:noWrap/>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48,475,724,750.00</w:t>
            </w:r>
          </w:p>
        </w:tc>
        <w:tc>
          <w:tcPr>
            <w:tcW w:w="1843"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DC24F2">
              <w:rPr>
                <w:rFonts w:ascii="Calibri" w:eastAsia="Times New Roman" w:hAnsi="Calibri" w:cs="Times New Roman"/>
                <w:b/>
                <w:bCs/>
                <w:color w:val="000000"/>
                <w:sz w:val="18"/>
                <w:szCs w:val="18"/>
              </w:rPr>
              <w:t xml:space="preserve">23,721,563,795.81 </w:t>
            </w:r>
          </w:p>
        </w:tc>
        <w:tc>
          <w:tcPr>
            <w:tcW w:w="1276" w:type="dxa"/>
            <w:hideMark/>
          </w:tcPr>
          <w:p w:rsidR="00DC24F2" w:rsidRP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DC24F2">
              <w:rPr>
                <w:rFonts w:ascii="Calibri" w:eastAsia="Times New Roman" w:hAnsi="Calibri" w:cs="Times New Roman"/>
                <w:color w:val="000000"/>
                <w:sz w:val="18"/>
                <w:szCs w:val="18"/>
              </w:rPr>
              <w:t xml:space="preserve">       </w:t>
            </w:r>
            <w:r w:rsidRPr="00DC24F2">
              <w:rPr>
                <w:rFonts w:ascii="Calibri" w:eastAsia="Times New Roman" w:hAnsi="Calibri" w:cs="Times New Roman"/>
                <w:b/>
                <w:color w:val="000000"/>
                <w:sz w:val="18"/>
                <w:szCs w:val="18"/>
              </w:rPr>
              <w:t xml:space="preserve">48.93 </w:t>
            </w:r>
          </w:p>
        </w:tc>
      </w:tr>
    </w:tbl>
    <w:p w:rsidR="00DC24F2" w:rsidRPr="00571174" w:rsidRDefault="00DC24F2" w:rsidP="00DC24F2">
      <w:pPr>
        <w:spacing w:after="240" w:line="240" w:lineRule="auto"/>
        <w:jc w:val="both"/>
        <w:rPr>
          <w:rFonts w:ascii="Tahoma" w:hAnsi="Tahoma" w:cs="Tahoma"/>
          <w:i/>
          <w:sz w:val="24"/>
          <w:szCs w:val="24"/>
          <w:lang w:val="en-CA"/>
        </w:rPr>
      </w:pPr>
      <w:r w:rsidRPr="001106E2">
        <w:rPr>
          <w:rFonts w:ascii="Tahoma" w:hAnsi="Tahoma" w:cs="Tahoma"/>
          <w:b/>
          <w:sz w:val="24"/>
          <w:szCs w:val="24"/>
          <w:lang w:val="en-CA"/>
        </w:rPr>
        <w:t>Source:</w:t>
      </w:r>
      <w:r w:rsidRPr="001106E2">
        <w:rPr>
          <w:rFonts w:ascii="Tahoma" w:hAnsi="Tahoma" w:cs="Tahoma"/>
          <w:i/>
          <w:sz w:val="24"/>
          <w:szCs w:val="24"/>
          <w:lang w:val="en-CA"/>
        </w:rPr>
        <w:t xml:space="preserve"> </w:t>
      </w:r>
      <w:r w:rsidRPr="003402CF">
        <w:rPr>
          <w:rFonts w:ascii="Tahoma" w:hAnsi="Tahoma" w:cs="Tahoma"/>
          <w:i/>
          <w:szCs w:val="24"/>
          <w:lang w:val="en-CA"/>
        </w:rPr>
        <w:t xml:space="preserve">Office of Accountant General, Board of Internal Revenue &amp; Other MEDAs </w:t>
      </w:r>
    </w:p>
    <w:p w:rsidR="00DC24F2" w:rsidRDefault="00DC24F2" w:rsidP="00DC24F2">
      <w:pPr>
        <w:spacing w:after="0" w:line="360" w:lineRule="auto"/>
        <w:rPr>
          <w:rFonts w:ascii="Tahoma" w:hAnsi="Tahoma" w:cs="Tahoma"/>
          <w:b/>
          <w:sz w:val="28"/>
          <w:szCs w:val="28"/>
          <w:lang w:val="en-CA"/>
        </w:rPr>
      </w:pPr>
    </w:p>
    <w:p w:rsidR="00DC24F2" w:rsidRDefault="00DC24F2" w:rsidP="00DC24F2">
      <w:pPr>
        <w:spacing w:after="0" w:line="360" w:lineRule="auto"/>
        <w:rPr>
          <w:rFonts w:ascii="Tahoma" w:hAnsi="Tahoma" w:cs="Tahoma"/>
          <w:b/>
          <w:sz w:val="28"/>
          <w:szCs w:val="28"/>
          <w:lang w:val="en-CA"/>
        </w:rPr>
      </w:pPr>
    </w:p>
    <w:p w:rsidR="00DC24F2" w:rsidRDefault="00DC24F2" w:rsidP="00D572D0">
      <w:pPr>
        <w:spacing w:after="0" w:line="360" w:lineRule="auto"/>
        <w:ind w:left="1560" w:hanging="1560"/>
        <w:rPr>
          <w:rFonts w:ascii="Tahoma" w:hAnsi="Tahoma" w:cs="Tahoma"/>
          <w:b/>
          <w:sz w:val="28"/>
          <w:szCs w:val="28"/>
          <w:lang w:val="en-CA"/>
        </w:rPr>
      </w:pPr>
      <w:r>
        <w:rPr>
          <w:rFonts w:ascii="Tahoma" w:hAnsi="Tahoma" w:cs="Tahoma"/>
          <w:b/>
          <w:sz w:val="28"/>
          <w:szCs w:val="28"/>
          <w:lang w:val="en-CA"/>
        </w:rPr>
        <w:lastRenderedPageBreak/>
        <w:t>Figure 2.1: Bar Chart Showing</w:t>
      </w:r>
      <w:r w:rsidR="00D572D0">
        <w:rPr>
          <w:rFonts w:ascii="Tahoma" w:hAnsi="Tahoma" w:cs="Tahoma"/>
          <w:b/>
          <w:sz w:val="28"/>
          <w:szCs w:val="28"/>
          <w:lang w:val="en-CA"/>
        </w:rPr>
        <w:t xml:space="preserve"> 2019</w:t>
      </w:r>
      <w:r>
        <w:rPr>
          <w:rFonts w:ascii="Tahoma" w:hAnsi="Tahoma" w:cs="Tahoma"/>
          <w:b/>
          <w:sz w:val="28"/>
          <w:szCs w:val="28"/>
          <w:lang w:val="en-CA"/>
        </w:rPr>
        <w:t xml:space="preserve"> First Quarter Revenue </w:t>
      </w:r>
      <w:r>
        <w:rPr>
          <w:rFonts w:ascii="Tahoma" w:hAnsi="Tahoma" w:cs="Tahoma"/>
          <w:b/>
          <w:sz w:val="28"/>
          <w:szCs w:val="28"/>
          <w:lang w:val="en-CA"/>
        </w:rPr>
        <w:tab/>
        <w:t xml:space="preserve">   Performance</w:t>
      </w:r>
    </w:p>
    <w:p w:rsidR="00DC24F2" w:rsidRDefault="00DC24F2" w:rsidP="00DC24F2">
      <w:pPr>
        <w:spacing w:after="0" w:line="360" w:lineRule="auto"/>
        <w:jc w:val="both"/>
        <w:rPr>
          <w:rFonts w:ascii="Tahoma" w:hAnsi="Tahoma" w:cs="Tahoma"/>
          <w:b/>
          <w:sz w:val="28"/>
          <w:szCs w:val="28"/>
        </w:rPr>
      </w:pPr>
      <w:r>
        <w:rPr>
          <w:noProof/>
          <w:lang w:eastAsia="cy-GB"/>
        </w:rPr>
        <w:drawing>
          <wp:inline distT="0" distB="0" distL="0" distR="0" wp14:anchorId="666141BA" wp14:editId="3C2365EC">
            <wp:extent cx="5705475" cy="4219574"/>
            <wp:effectExtent l="0" t="0" r="9525"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C24F2" w:rsidRDefault="00DC24F2" w:rsidP="00DC24F2">
      <w:pPr>
        <w:spacing w:after="240" w:line="480" w:lineRule="auto"/>
        <w:ind w:firstLine="720"/>
        <w:jc w:val="both"/>
        <w:rPr>
          <w:rFonts w:ascii="Tahoma" w:hAnsi="Tahoma" w:cs="Tahoma"/>
          <w:sz w:val="28"/>
          <w:szCs w:val="28"/>
          <w:lang w:val="en-CA"/>
        </w:rPr>
      </w:pPr>
    </w:p>
    <w:p w:rsidR="00DC24F2" w:rsidRDefault="00DC24F2" w:rsidP="00DC24F2">
      <w:pPr>
        <w:spacing w:after="240" w:line="480" w:lineRule="auto"/>
        <w:ind w:firstLine="720"/>
        <w:jc w:val="both"/>
        <w:rPr>
          <w:rFonts w:ascii="Tahoma" w:hAnsi="Tahoma" w:cs="Tahoma"/>
          <w:sz w:val="28"/>
          <w:szCs w:val="28"/>
          <w:lang w:val="en-CA"/>
        </w:rPr>
      </w:pPr>
      <w:r>
        <w:rPr>
          <w:rFonts w:ascii="Tahoma" w:hAnsi="Tahoma" w:cs="Tahoma"/>
          <w:sz w:val="28"/>
          <w:szCs w:val="28"/>
          <w:lang w:val="en-CA"/>
        </w:rPr>
        <w:t xml:space="preserve">Table 2.1 and figure 2.1 show that the revenue target for the 2019 first quarter was </w:t>
      </w:r>
      <w:r w:rsidRPr="00817D6B">
        <w:rPr>
          <w:rFonts w:ascii="Tahoma" w:hAnsi="Tahoma" w:cs="Tahoma"/>
          <w:dstrike/>
          <w:sz w:val="28"/>
          <w:szCs w:val="28"/>
          <w:lang w:val="en-CA"/>
        </w:rPr>
        <w:t>N</w:t>
      </w:r>
      <w:r>
        <w:rPr>
          <w:rFonts w:ascii="Tahoma" w:hAnsi="Tahoma" w:cs="Tahoma"/>
          <w:sz w:val="28"/>
          <w:szCs w:val="28"/>
          <w:lang w:val="en-CA"/>
        </w:rPr>
        <w:t xml:space="preserve">48.476 billion and the total actual revenue was </w:t>
      </w:r>
      <w:r w:rsidRPr="00817D6B">
        <w:rPr>
          <w:rFonts w:ascii="Tahoma" w:hAnsi="Tahoma" w:cs="Tahoma"/>
          <w:dstrike/>
          <w:sz w:val="28"/>
          <w:szCs w:val="28"/>
          <w:lang w:val="en-CA"/>
        </w:rPr>
        <w:t>N</w:t>
      </w:r>
      <w:r>
        <w:rPr>
          <w:rFonts w:ascii="Tahoma" w:hAnsi="Tahoma" w:cs="Tahoma"/>
          <w:sz w:val="28"/>
          <w:szCs w:val="28"/>
          <w:lang w:val="en-CA"/>
        </w:rPr>
        <w:t xml:space="preserve">23.722 billion, which represents 48.9% performance level. This shows an increase of </w:t>
      </w:r>
      <w:r w:rsidRPr="00817D6B">
        <w:rPr>
          <w:rFonts w:ascii="Tahoma" w:hAnsi="Tahoma" w:cs="Tahoma"/>
          <w:dstrike/>
          <w:sz w:val="28"/>
          <w:szCs w:val="28"/>
          <w:lang w:val="en-CA"/>
        </w:rPr>
        <w:t>N</w:t>
      </w:r>
      <w:r>
        <w:rPr>
          <w:rFonts w:ascii="Tahoma" w:hAnsi="Tahoma" w:cs="Tahoma"/>
          <w:sz w:val="28"/>
          <w:szCs w:val="28"/>
          <w:lang w:val="en-CA"/>
        </w:rPr>
        <w:t xml:space="preserve">2.496 billion over the corresponding figure of </w:t>
      </w:r>
      <w:r w:rsidRPr="00817D6B">
        <w:rPr>
          <w:rFonts w:ascii="Tahoma" w:hAnsi="Tahoma" w:cs="Tahoma"/>
          <w:dstrike/>
          <w:sz w:val="28"/>
          <w:szCs w:val="28"/>
          <w:lang w:val="en-CA"/>
        </w:rPr>
        <w:t>N</w:t>
      </w:r>
      <w:r>
        <w:rPr>
          <w:rFonts w:ascii="Tahoma" w:hAnsi="Tahoma" w:cs="Tahoma"/>
          <w:sz w:val="28"/>
          <w:szCs w:val="28"/>
          <w:lang w:val="en-CA"/>
        </w:rPr>
        <w:t>21.226 billion recorded in the 2018 first quarter although, the performance was 46.8%.</w:t>
      </w:r>
    </w:p>
    <w:p w:rsidR="00DC24F2" w:rsidRPr="00A47910" w:rsidRDefault="00DC24F2" w:rsidP="00DC24F2">
      <w:pPr>
        <w:spacing w:after="240" w:line="480" w:lineRule="auto"/>
        <w:ind w:firstLine="720"/>
        <w:jc w:val="both"/>
        <w:rPr>
          <w:rFonts w:ascii="Tahoma" w:hAnsi="Tahoma" w:cs="Tahoma"/>
          <w:sz w:val="24"/>
          <w:szCs w:val="24"/>
          <w:lang w:val="en-CA"/>
        </w:rPr>
      </w:pPr>
      <w:r>
        <w:rPr>
          <w:rFonts w:ascii="Tahoma" w:hAnsi="Tahoma" w:cs="Tahoma"/>
          <w:sz w:val="28"/>
          <w:szCs w:val="28"/>
          <w:lang w:val="en-CA"/>
        </w:rPr>
        <w:t xml:space="preserve">The 2019 first quarter revenue increased to </w:t>
      </w:r>
      <w:r w:rsidRPr="00B9424D">
        <w:rPr>
          <w:rFonts w:ascii="Tahoma" w:hAnsi="Tahoma" w:cs="Tahoma"/>
          <w:dstrike/>
          <w:sz w:val="28"/>
          <w:szCs w:val="28"/>
          <w:lang w:val="en-CA"/>
        </w:rPr>
        <w:t>N</w:t>
      </w:r>
      <w:r>
        <w:rPr>
          <w:rFonts w:ascii="Tahoma" w:hAnsi="Tahoma" w:cs="Tahoma"/>
          <w:sz w:val="28"/>
          <w:szCs w:val="28"/>
          <w:lang w:val="en-CA"/>
        </w:rPr>
        <w:t xml:space="preserve">25.484 billion when </w:t>
      </w:r>
      <w:r w:rsidRPr="00B9424D">
        <w:rPr>
          <w:rFonts w:ascii="Tahoma" w:hAnsi="Tahoma" w:cs="Tahoma"/>
          <w:dstrike/>
          <w:sz w:val="28"/>
          <w:szCs w:val="28"/>
          <w:lang w:val="en-CA"/>
        </w:rPr>
        <w:t>N</w:t>
      </w:r>
      <w:r>
        <w:rPr>
          <w:rFonts w:ascii="Tahoma" w:hAnsi="Tahoma" w:cs="Tahoma"/>
          <w:sz w:val="28"/>
          <w:szCs w:val="28"/>
          <w:lang w:val="en-CA"/>
        </w:rPr>
        <w:t xml:space="preserve">1.763 billion actual revenue generated by the Revenue Retaining </w:t>
      </w:r>
      <w:r>
        <w:rPr>
          <w:rFonts w:ascii="Tahoma" w:hAnsi="Tahoma" w:cs="Tahoma"/>
          <w:sz w:val="28"/>
          <w:szCs w:val="28"/>
          <w:lang w:val="en-CA"/>
        </w:rPr>
        <w:lastRenderedPageBreak/>
        <w:t xml:space="preserve">Agencies was added, representing overall performance of 52.6% for the quarter. </w:t>
      </w:r>
    </w:p>
    <w:p w:rsidR="00DC24F2" w:rsidRDefault="00DC24F2" w:rsidP="00DC24F2">
      <w:pPr>
        <w:spacing w:after="0" w:line="480" w:lineRule="auto"/>
        <w:jc w:val="both"/>
        <w:rPr>
          <w:rFonts w:ascii="Tahoma" w:hAnsi="Tahoma" w:cs="Tahoma"/>
          <w:b/>
          <w:sz w:val="28"/>
          <w:szCs w:val="28"/>
        </w:rPr>
      </w:pPr>
      <w:r>
        <w:rPr>
          <w:rFonts w:ascii="Tahoma" w:hAnsi="Tahoma" w:cs="Tahoma"/>
          <w:b/>
          <w:sz w:val="28"/>
          <w:szCs w:val="28"/>
        </w:rPr>
        <w:t>2.1.2</w:t>
      </w:r>
      <w:r>
        <w:rPr>
          <w:rFonts w:ascii="Tahoma" w:hAnsi="Tahoma" w:cs="Tahoma"/>
          <w:b/>
          <w:sz w:val="28"/>
          <w:szCs w:val="28"/>
        </w:rPr>
        <w:tab/>
      </w:r>
      <w:r>
        <w:rPr>
          <w:rFonts w:ascii="Tahoma" w:hAnsi="Tahoma" w:cs="Tahoma"/>
          <w:b/>
          <w:sz w:val="28"/>
          <w:szCs w:val="28"/>
        </w:rPr>
        <w:tab/>
        <w:t>Revenue Categories</w:t>
      </w:r>
    </w:p>
    <w:p w:rsidR="00DC24F2" w:rsidRDefault="00DC24F2" w:rsidP="00DC24F2">
      <w:pPr>
        <w:spacing w:after="0" w:line="480" w:lineRule="auto"/>
        <w:ind w:firstLine="720"/>
        <w:jc w:val="both"/>
        <w:rPr>
          <w:rFonts w:ascii="Tahoma" w:hAnsi="Tahoma" w:cs="Tahoma"/>
          <w:sz w:val="28"/>
          <w:szCs w:val="28"/>
          <w:lang w:val="en-CA"/>
        </w:rPr>
      </w:pPr>
      <w:r>
        <w:rPr>
          <w:rFonts w:ascii="Tahoma" w:hAnsi="Tahoma" w:cs="Tahoma"/>
          <w:sz w:val="28"/>
          <w:szCs w:val="28"/>
          <w:lang w:val="en-CA"/>
        </w:rPr>
        <w:t>Figure 2.2 and 2.3 depict</w:t>
      </w:r>
      <w:r w:rsidRPr="001106E2">
        <w:rPr>
          <w:rFonts w:ascii="Tahoma" w:hAnsi="Tahoma" w:cs="Tahoma"/>
          <w:sz w:val="28"/>
          <w:szCs w:val="28"/>
          <w:lang w:val="en-CA"/>
        </w:rPr>
        <w:t xml:space="preserve"> the</w:t>
      </w:r>
      <w:r>
        <w:rPr>
          <w:rFonts w:ascii="Tahoma" w:hAnsi="Tahoma" w:cs="Tahoma"/>
          <w:sz w:val="28"/>
          <w:szCs w:val="28"/>
          <w:lang w:val="en-CA"/>
        </w:rPr>
        <w:t xml:space="preserve"> three</w:t>
      </w:r>
      <w:r w:rsidRPr="001106E2">
        <w:rPr>
          <w:rFonts w:ascii="Tahoma" w:hAnsi="Tahoma" w:cs="Tahoma"/>
          <w:sz w:val="28"/>
          <w:szCs w:val="28"/>
          <w:lang w:val="en-CA"/>
        </w:rPr>
        <w:t xml:space="preserve"> revenue </w:t>
      </w:r>
      <w:r>
        <w:rPr>
          <w:rFonts w:ascii="Tahoma" w:hAnsi="Tahoma" w:cs="Tahoma"/>
          <w:sz w:val="28"/>
          <w:szCs w:val="28"/>
          <w:lang w:val="en-CA"/>
        </w:rPr>
        <w:t xml:space="preserve">categories in </w:t>
      </w:r>
      <w:r w:rsidRPr="001106E2">
        <w:rPr>
          <w:rFonts w:ascii="Tahoma" w:hAnsi="Tahoma" w:cs="Tahoma"/>
          <w:sz w:val="28"/>
          <w:szCs w:val="28"/>
          <w:lang w:val="en-CA"/>
        </w:rPr>
        <w:t>the State</w:t>
      </w:r>
      <w:r>
        <w:rPr>
          <w:rFonts w:ascii="Tahoma" w:hAnsi="Tahoma" w:cs="Tahoma"/>
          <w:sz w:val="28"/>
          <w:szCs w:val="28"/>
          <w:lang w:val="en-CA"/>
        </w:rPr>
        <w:t>.</w:t>
      </w:r>
      <w:r w:rsidRPr="001106E2">
        <w:rPr>
          <w:rFonts w:ascii="Tahoma" w:hAnsi="Tahoma" w:cs="Tahoma"/>
          <w:sz w:val="28"/>
          <w:szCs w:val="28"/>
          <w:lang w:val="en-CA"/>
        </w:rPr>
        <w:t xml:space="preserve"> These are: Revenue from the Federatio</w:t>
      </w:r>
      <w:r>
        <w:rPr>
          <w:rFonts w:ascii="Tahoma" w:hAnsi="Tahoma" w:cs="Tahoma"/>
          <w:sz w:val="28"/>
          <w:szCs w:val="28"/>
          <w:lang w:val="en-CA"/>
        </w:rPr>
        <w:t>n Account, Independent Revenue [Internally Generated Revenue (</w:t>
      </w:r>
      <w:r w:rsidRPr="001106E2">
        <w:rPr>
          <w:rFonts w:ascii="Tahoma" w:hAnsi="Tahoma" w:cs="Tahoma"/>
          <w:sz w:val="28"/>
          <w:szCs w:val="28"/>
          <w:lang w:val="en-CA"/>
        </w:rPr>
        <w:t>IGR)</w:t>
      </w:r>
      <w:r>
        <w:rPr>
          <w:rFonts w:ascii="Tahoma" w:hAnsi="Tahoma" w:cs="Tahoma"/>
          <w:sz w:val="28"/>
          <w:szCs w:val="28"/>
          <w:lang w:val="en-CA"/>
        </w:rPr>
        <w:t>]</w:t>
      </w:r>
      <w:r w:rsidRPr="001106E2">
        <w:rPr>
          <w:rFonts w:ascii="Tahoma" w:hAnsi="Tahoma" w:cs="Tahoma"/>
          <w:sz w:val="28"/>
          <w:szCs w:val="28"/>
          <w:lang w:val="en-CA"/>
        </w:rPr>
        <w:t xml:space="preserve"> and Revenue from Other Sources.</w:t>
      </w:r>
    </w:p>
    <w:p w:rsidR="00DC24F2" w:rsidRPr="00F472AF" w:rsidRDefault="00DC24F2" w:rsidP="00DC24F2">
      <w:pPr>
        <w:spacing w:after="0" w:line="360" w:lineRule="auto"/>
        <w:jc w:val="both"/>
        <w:rPr>
          <w:rFonts w:ascii="Tahoma" w:hAnsi="Tahoma" w:cs="Tahoma"/>
          <w:b/>
          <w:sz w:val="28"/>
          <w:szCs w:val="28"/>
          <w:lang w:val="en-CA"/>
        </w:rPr>
      </w:pPr>
      <w:r>
        <w:rPr>
          <w:rFonts w:ascii="Tahoma" w:hAnsi="Tahoma" w:cs="Tahoma"/>
          <w:b/>
          <w:sz w:val="28"/>
          <w:szCs w:val="28"/>
        </w:rPr>
        <w:t>Figure 2.2</w:t>
      </w:r>
      <w:r w:rsidRPr="005441AA">
        <w:rPr>
          <w:rFonts w:ascii="Tahoma" w:hAnsi="Tahoma" w:cs="Tahoma"/>
          <w:b/>
          <w:sz w:val="28"/>
          <w:szCs w:val="28"/>
        </w:rPr>
        <w:t>: Bar Chart Showing F</w:t>
      </w:r>
      <w:r>
        <w:rPr>
          <w:rFonts w:ascii="Tahoma" w:hAnsi="Tahoma" w:cs="Tahoma"/>
          <w:b/>
          <w:sz w:val="28"/>
          <w:szCs w:val="28"/>
        </w:rPr>
        <w:t xml:space="preserve">irst Quarter Revenue </w:t>
      </w:r>
      <w:r w:rsidRPr="005441AA">
        <w:rPr>
          <w:rFonts w:ascii="Tahoma" w:hAnsi="Tahoma" w:cs="Tahoma"/>
          <w:b/>
          <w:sz w:val="28"/>
          <w:szCs w:val="28"/>
        </w:rPr>
        <w:t>Categories</w:t>
      </w:r>
    </w:p>
    <w:p w:rsidR="00DC24F2" w:rsidRDefault="00DC24F2" w:rsidP="00DC24F2">
      <w:pPr>
        <w:pStyle w:val="NoSpacing"/>
        <w:rPr>
          <w:rFonts w:ascii="Tahoma" w:hAnsi="Tahoma" w:cs="Tahoma"/>
          <w:b/>
          <w:sz w:val="28"/>
          <w:szCs w:val="28"/>
        </w:rPr>
      </w:pPr>
      <w:r>
        <w:rPr>
          <w:noProof/>
          <w:lang w:val="cy-GB" w:eastAsia="cy-GB"/>
        </w:rPr>
        <w:drawing>
          <wp:inline distT="0" distB="0" distL="0" distR="0" wp14:anchorId="3509D10C" wp14:editId="54A589AE">
            <wp:extent cx="5810250" cy="40100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24F2" w:rsidRDefault="00DC24F2" w:rsidP="00DC24F2">
      <w:pPr>
        <w:spacing w:line="480" w:lineRule="auto"/>
        <w:ind w:firstLine="720"/>
        <w:jc w:val="both"/>
        <w:rPr>
          <w:rFonts w:ascii="Tahoma" w:hAnsi="Tahoma" w:cs="Tahoma"/>
          <w:sz w:val="28"/>
          <w:szCs w:val="28"/>
          <w:lang w:val="en-CA"/>
        </w:rPr>
      </w:pPr>
      <w:r>
        <w:rPr>
          <w:rFonts w:ascii="Tahoma" w:hAnsi="Tahoma" w:cs="Tahoma"/>
          <w:sz w:val="28"/>
          <w:szCs w:val="28"/>
          <w:lang w:val="en-CA"/>
        </w:rPr>
        <w:t xml:space="preserve">Figure 2.2 depicts the performance of Revenue Categories for the first quarter of 2019. At the end of the quarter, actual revenue from the Federation Account amounted to </w:t>
      </w:r>
      <w:r w:rsidRPr="00B9424D">
        <w:rPr>
          <w:rFonts w:ascii="Tahoma" w:hAnsi="Tahoma" w:cs="Tahoma"/>
          <w:dstrike/>
          <w:sz w:val="28"/>
          <w:szCs w:val="28"/>
          <w:lang w:val="en-CA"/>
        </w:rPr>
        <w:t>N</w:t>
      </w:r>
      <w:r>
        <w:rPr>
          <w:rFonts w:ascii="Tahoma" w:hAnsi="Tahoma" w:cs="Tahoma"/>
          <w:sz w:val="28"/>
          <w:szCs w:val="28"/>
          <w:lang w:val="en-CA"/>
        </w:rPr>
        <w:t xml:space="preserve">16.151 billion against a target of </w:t>
      </w:r>
      <w:r w:rsidRPr="00B9424D">
        <w:rPr>
          <w:rFonts w:ascii="Tahoma" w:hAnsi="Tahoma" w:cs="Tahoma"/>
          <w:dstrike/>
          <w:sz w:val="28"/>
          <w:szCs w:val="28"/>
          <w:lang w:val="en-CA"/>
        </w:rPr>
        <w:t>N</w:t>
      </w:r>
      <w:r>
        <w:rPr>
          <w:rFonts w:ascii="Tahoma" w:hAnsi="Tahoma" w:cs="Tahoma"/>
          <w:sz w:val="28"/>
          <w:szCs w:val="28"/>
          <w:lang w:val="en-CA"/>
        </w:rPr>
        <w:t xml:space="preserve">23.824 billion representing 67.8%, Independent Revenue was </w:t>
      </w:r>
      <w:r w:rsidRPr="00B9424D">
        <w:rPr>
          <w:rFonts w:ascii="Tahoma" w:hAnsi="Tahoma" w:cs="Tahoma"/>
          <w:dstrike/>
          <w:sz w:val="28"/>
          <w:szCs w:val="28"/>
          <w:lang w:val="en-CA"/>
        </w:rPr>
        <w:t>N</w:t>
      </w:r>
      <w:r>
        <w:rPr>
          <w:rFonts w:ascii="Tahoma" w:hAnsi="Tahoma" w:cs="Tahoma"/>
          <w:sz w:val="28"/>
          <w:szCs w:val="28"/>
          <w:lang w:val="en-CA"/>
        </w:rPr>
        <w:t xml:space="preserve">3.436 billion against a target of </w:t>
      </w:r>
      <w:r w:rsidRPr="00B9424D">
        <w:rPr>
          <w:rFonts w:ascii="Tahoma" w:hAnsi="Tahoma" w:cs="Tahoma"/>
          <w:dstrike/>
          <w:sz w:val="28"/>
          <w:szCs w:val="28"/>
          <w:lang w:val="en-CA"/>
        </w:rPr>
        <w:t>N</w:t>
      </w:r>
      <w:r>
        <w:rPr>
          <w:rFonts w:ascii="Tahoma" w:hAnsi="Tahoma" w:cs="Tahoma"/>
          <w:sz w:val="28"/>
          <w:szCs w:val="28"/>
          <w:lang w:val="en-CA"/>
        </w:rPr>
        <w:t xml:space="preserve">6.281 billion representing 54.7% without RRA </w:t>
      </w:r>
      <w:r>
        <w:rPr>
          <w:rFonts w:ascii="Tahoma" w:hAnsi="Tahoma" w:cs="Tahoma"/>
          <w:sz w:val="28"/>
          <w:szCs w:val="28"/>
          <w:lang w:val="en-CA"/>
        </w:rPr>
        <w:lastRenderedPageBreak/>
        <w:t xml:space="preserve">figure, and the performance rose to 82.8% when the RRA figure was added. While the Revenue from Other Sources amounted to </w:t>
      </w:r>
      <w:r w:rsidRPr="00B9424D">
        <w:rPr>
          <w:rFonts w:ascii="Tahoma" w:hAnsi="Tahoma" w:cs="Tahoma"/>
          <w:dstrike/>
          <w:sz w:val="28"/>
          <w:szCs w:val="28"/>
          <w:lang w:val="en-CA"/>
        </w:rPr>
        <w:t>N</w:t>
      </w:r>
      <w:r>
        <w:rPr>
          <w:rFonts w:ascii="Tahoma" w:hAnsi="Tahoma" w:cs="Tahoma"/>
          <w:sz w:val="28"/>
          <w:szCs w:val="28"/>
          <w:lang w:val="en-CA"/>
        </w:rPr>
        <w:t xml:space="preserve">4.134 billion against a target of </w:t>
      </w:r>
      <w:r w:rsidRPr="00B9424D">
        <w:rPr>
          <w:rFonts w:ascii="Tahoma" w:hAnsi="Tahoma" w:cs="Tahoma"/>
          <w:dstrike/>
          <w:sz w:val="28"/>
          <w:szCs w:val="28"/>
          <w:lang w:val="en-CA"/>
        </w:rPr>
        <w:t>N</w:t>
      </w:r>
      <w:r>
        <w:rPr>
          <w:rFonts w:ascii="Tahoma" w:hAnsi="Tahoma" w:cs="Tahoma"/>
          <w:sz w:val="28"/>
          <w:szCs w:val="28"/>
          <w:lang w:val="en-CA"/>
        </w:rPr>
        <w:t xml:space="preserve">18.372 billion representing 22.5% performance. </w:t>
      </w:r>
    </w:p>
    <w:p w:rsidR="00DC24F2" w:rsidRDefault="00DC24F2" w:rsidP="00DC24F2">
      <w:pPr>
        <w:pStyle w:val="NoSpacing"/>
        <w:rPr>
          <w:rFonts w:ascii="Tahoma" w:hAnsi="Tahoma" w:cs="Tahoma"/>
          <w:b/>
          <w:sz w:val="28"/>
          <w:szCs w:val="28"/>
        </w:rPr>
      </w:pPr>
      <w:r>
        <w:rPr>
          <w:rFonts w:ascii="Tahoma" w:hAnsi="Tahoma" w:cs="Tahoma"/>
          <w:b/>
          <w:sz w:val="28"/>
          <w:szCs w:val="28"/>
        </w:rPr>
        <w:t>Figure 2.3: Pie Chart Showing Share of Revenue Categories</w:t>
      </w:r>
    </w:p>
    <w:p w:rsidR="00DC24F2" w:rsidRPr="004E1FFD" w:rsidRDefault="00DC24F2" w:rsidP="00DC24F2">
      <w:pPr>
        <w:pStyle w:val="NoSpacing"/>
        <w:rPr>
          <w:rFonts w:ascii="Tahoma" w:hAnsi="Tahoma" w:cs="Tahoma"/>
          <w:b/>
          <w:sz w:val="28"/>
          <w:szCs w:val="28"/>
        </w:rPr>
      </w:pPr>
      <w:r>
        <w:rPr>
          <w:rFonts w:ascii="Tahoma" w:hAnsi="Tahoma" w:cs="Tahoma"/>
          <w:b/>
          <w:sz w:val="28"/>
          <w:szCs w:val="28"/>
        </w:rPr>
        <w:t xml:space="preserve"> </w:t>
      </w:r>
      <w:r w:rsidRPr="004E1FFD">
        <w:rPr>
          <w:rFonts w:ascii="Tahoma" w:hAnsi="Tahoma" w:cs="Tahoma"/>
          <w:b/>
          <w:sz w:val="28"/>
          <w:szCs w:val="28"/>
        </w:rPr>
        <w:tab/>
        <w:t xml:space="preserve">    </w:t>
      </w:r>
    </w:p>
    <w:p w:rsidR="00DC24F2" w:rsidRDefault="00DC24F2" w:rsidP="00DC24F2">
      <w:pPr>
        <w:spacing w:line="360" w:lineRule="auto"/>
        <w:jc w:val="both"/>
        <w:rPr>
          <w:rFonts w:ascii="Tahoma" w:hAnsi="Tahoma" w:cs="Tahoma"/>
          <w:b/>
          <w:sz w:val="28"/>
          <w:szCs w:val="28"/>
          <w:lang w:val="en-CA"/>
        </w:rPr>
      </w:pPr>
      <w:r>
        <w:rPr>
          <w:noProof/>
          <w:lang w:eastAsia="cy-GB"/>
        </w:rPr>
        <w:drawing>
          <wp:inline distT="0" distB="0" distL="0" distR="0" wp14:anchorId="6D9FCD9F" wp14:editId="26A03ECE">
            <wp:extent cx="6029325" cy="4076700"/>
            <wp:effectExtent l="0" t="0" r="476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C24F2" w:rsidRDefault="00DC24F2" w:rsidP="00DC24F2">
      <w:pPr>
        <w:spacing w:line="480" w:lineRule="auto"/>
        <w:ind w:firstLine="720"/>
        <w:jc w:val="both"/>
        <w:rPr>
          <w:rFonts w:ascii="Tahoma" w:hAnsi="Tahoma" w:cs="Tahoma"/>
          <w:sz w:val="28"/>
          <w:szCs w:val="28"/>
          <w:lang w:val="en-CA"/>
        </w:rPr>
      </w:pPr>
      <w:r>
        <w:rPr>
          <w:rFonts w:ascii="Tahoma" w:hAnsi="Tahoma" w:cs="Tahoma"/>
          <w:sz w:val="28"/>
          <w:szCs w:val="28"/>
          <w:lang w:val="en-CA"/>
        </w:rPr>
        <w:t>Figure 2.3 show</w:t>
      </w:r>
      <w:r w:rsidRPr="001106E2">
        <w:rPr>
          <w:rFonts w:ascii="Tahoma" w:hAnsi="Tahoma" w:cs="Tahoma"/>
          <w:sz w:val="28"/>
          <w:szCs w:val="28"/>
          <w:lang w:val="en-CA"/>
        </w:rPr>
        <w:t xml:space="preserve">s the </w:t>
      </w:r>
      <w:r>
        <w:rPr>
          <w:rFonts w:ascii="Tahoma" w:hAnsi="Tahoma" w:cs="Tahoma"/>
          <w:sz w:val="28"/>
          <w:szCs w:val="28"/>
          <w:lang w:val="en-CA"/>
        </w:rPr>
        <w:t xml:space="preserve">proportion </w:t>
      </w:r>
      <w:r w:rsidRPr="001106E2">
        <w:rPr>
          <w:rFonts w:ascii="Tahoma" w:hAnsi="Tahoma" w:cs="Tahoma"/>
          <w:sz w:val="28"/>
          <w:szCs w:val="28"/>
          <w:lang w:val="en-CA"/>
        </w:rPr>
        <w:t>of actual revenue receipts from the three</w:t>
      </w:r>
      <w:r>
        <w:rPr>
          <w:rFonts w:ascii="Tahoma" w:hAnsi="Tahoma" w:cs="Tahoma"/>
          <w:sz w:val="28"/>
          <w:szCs w:val="28"/>
          <w:lang w:val="en-CA"/>
        </w:rPr>
        <w:t xml:space="preserve"> Revenue Sources in the first quarter 2019</w:t>
      </w:r>
      <w:r w:rsidRPr="001106E2">
        <w:rPr>
          <w:rFonts w:ascii="Tahoma" w:hAnsi="Tahoma" w:cs="Tahoma"/>
          <w:sz w:val="28"/>
          <w:szCs w:val="28"/>
          <w:lang w:val="en-CA"/>
        </w:rPr>
        <w:t xml:space="preserve">. </w:t>
      </w:r>
      <w:r w:rsidRPr="001106E2">
        <w:rPr>
          <w:rFonts w:ascii="Tahoma" w:hAnsi="Tahoma" w:cs="Tahoma"/>
          <w:sz w:val="28"/>
          <w:szCs w:val="24"/>
          <w:lang w:val="en-CA"/>
        </w:rPr>
        <w:t xml:space="preserve">Out of the total </w:t>
      </w:r>
      <w:r w:rsidRPr="001106E2">
        <w:rPr>
          <w:rFonts w:ascii="Tahoma" w:hAnsi="Tahoma" w:cs="Tahoma"/>
          <w:sz w:val="28"/>
          <w:szCs w:val="28"/>
          <w:lang w:val="en-CA"/>
        </w:rPr>
        <w:t xml:space="preserve">actual </w:t>
      </w:r>
      <w:r>
        <w:rPr>
          <w:rFonts w:ascii="Tahoma" w:hAnsi="Tahoma" w:cs="Tahoma"/>
          <w:sz w:val="28"/>
          <w:szCs w:val="28"/>
          <w:lang w:val="en-CA"/>
        </w:rPr>
        <w:t>revenue</w:t>
      </w:r>
      <w:r w:rsidRPr="001106E2">
        <w:rPr>
          <w:rFonts w:ascii="Tahoma" w:hAnsi="Tahoma" w:cs="Tahoma"/>
          <w:sz w:val="28"/>
          <w:szCs w:val="28"/>
          <w:lang w:val="en-CA"/>
        </w:rPr>
        <w:t xml:space="preserve"> of </w:t>
      </w:r>
      <w:r w:rsidRPr="00817D6B">
        <w:rPr>
          <w:rFonts w:ascii="Tahoma" w:hAnsi="Tahoma" w:cs="Tahoma"/>
          <w:dstrike/>
          <w:sz w:val="28"/>
          <w:szCs w:val="28"/>
          <w:lang w:val="en-CA"/>
        </w:rPr>
        <w:t>N</w:t>
      </w:r>
      <w:r>
        <w:rPr>
          <w:rFonts w:ascii="Tahoma" w:hAnsi="Tahoma" w:cs="Tahoma"/>
          <w:sz w:val="28"/>
          <w:szCs w:val="28"/>
          <w:lang w:val="en-CA"/>
        </w:rPr>
        <w:t>23.722</w:t>
      </w:r>
      <w:r w:rsidRPr="001106E2">
        <w:rPr>
          <w:rFonts w:ascii="Tahoma" w:hAnsi="Tahoma" w:cs="Tahoma"/>
          <w:sz w:val="28"/>
          <w:szCs w:val="28"/>
          <w:lang w:val="en-CA"/>
        </w:rPr>
        <w:t xml:space="preserve"> billion </w:t>
      </w:r>
      <w:r>
        <w:rPr>
          <w:rFonts w:ascii="Tahoma" w:hAnsi="Tahoma" w:cs="Tahoma"/>
          <w:sz w:val="28"/>
          <w:szCs w:val="28"/>
          <w:lang w:val="en-CA"/>
        </w:rPr>
        <w:t xml:space="preserve">realised </w:t>
      </w:r>
      <w:r w:rsidRPr="001106E2">
        <w:rPr>
          <w:rFonts w:ascii="Tahoma" w:hAnsi="Tahoma" w:cs="Tahoma"/>
          <w:sz w:val="28"/>
          <w:szCs w:val="28"/>
          <w:lang w:val="en-CA"/>
        </w:rPr>
        <w:t xml:space="preserve">for the </w:t>
      </w:r>
      <w:r>
        <w:rPr>
          <w:rFonts w:ascii="Tahoma" w:hAnsi="Tahoma" w:cs="Tahoma"/>
          <w:sz w:val="28"/>
          <w:szCs w:val="28"/>
          <w:lang w:val="en-CA"/>
        </w:rPr>
        <w:t>first quarter,</w:t>
      </w:r>
      <w:r w:rsidRPr="001106E2">
        <w:rPr>
          <w:rFonts w:ascii="Tahoma" w:hAnsi="Tahoma" w:cs="Tahoma"/>
          <w:sz w:val="28"/>
          <w:szCs w:val="28"/>
          <w:lang w:val="en-CA"/>
        </w:rPr>
        <w:t xml:space="preserve"> </w:t>
      </w:r>
      <w:r>
        <w:rPr>
          <w:rFonts w:ascii="Tahoma" w:hAnsi="Tahoma" w:cs="Tahoma"/>
          <w:sz w:val="28"/>
          <w:szCs w:val="28"/>
          <w:lang w:val="en-CA"/>
        </w:rPr>
        <w:t>I</w:t>
      </w:r>
      <w:r w:rsidRPr="001106E2">
        <w:rPr>
          <w:rFonts w:ascii="Tahoma" w:hAnsi="Tahoma" w:cs="Tahoma"/>
          <w:sz w:val="28"/>
          <w:szCs w:val="28"/>
          <w:lang w:val="en-CA"/>
        </w:rPr>
        <w:t>nd</w:t>
      </w:r>
      <w:r>
        <w:rPr>
          <w:rFonts w:ascii="Tahoma" w:hAnsi="Tahoma" w:cs="Tahoma"/>
          <w:sz w:val="28"/>
          <w:szCs w:val="28"/>
          <w:lang w:val="en-CA"/>
        </w:rPr>
        <w:t>ependent Revenue accounted for 15</w:t>
      </w:r>
      <w:r w:rsidRPr="001106E2">
        <w:rPr>
          <w:rFonts w:ascii="Tahoma" w:hAnsi="Tahoma" w:cs="Tahoma"/>
          <w:sz w:val="28"/>
          <w:szCs w:val="28"/>
          <w:lang w:val="en-CA"/>
        </w:rPr>
        <w:t>%</w:t>
      </w:r>
      <w:r>
        <w:rPr>
          <w:rFonts w:ascii="Tahoma" w:hAnsi="Tahoma" w:cs="Tahoma"/>
          <w:sz w:val="28"/>
          <w:szCs w:val="28"/>
          <w:lang w:val="en-CA"/>
        </w:rPr>
        <w:t xml:space="preserve"> (less RRA), R</w:t>
      </w:r>
      <w:r w:rsidRPr="001106E2">
        <w:rPr>
          <w:rFonts w:ascii="Tahoma" w:hAnsi="Tahoma" w:cs="Tahoma"/>
          <w:sz w:val="28"/>
          <w:szCs w:val="28"/>
          <w:lang w:val="en-CA"/>
        </w:rPr>
        <w:t xml:space="preserve">evenue from Other Sources </w:t>
      </w:r>
      <w:r>
        <w:rPr>
          <w:rFonts w:ascii="Tahoma" w:hAnsi="Tahoma" w:cs="Tahoma"/>
          <w:sz w:val="28"/>
          <w:szCs w:val="28"/>
          <w:lang w:val="en-CA"/>
        </w:rPr>
        <w:t xml:space="preserve">17% and Federation Account 68%. </w:t>
      </w:r>
    </w:p>
    <w:p w:rsidR="00DC24F2" w:rsidRDefault="00DC24F2" w:rsidP="00DC24F2">
      <w:pPr>
        <w:spacing w:after="0" w:line="360" w:lineRule="auto"/>
        <w:ind w:left="1418" w:hanging="1418"/>
        <w:rPr>
          <w:rFonts w:ascii="Tahoma" w:hAnsi="Tahoma" w:cs="Tahoma"/>
          <w:b/>
          <w:sz w:val="28"/>
          <w:szCs w:val="28"/>
          <w:lang w:val="en-CA"/>
        </w:rPr>
      </w:pPr>
    </w:p>
    <w:p w:rsidR="00DC24F2" w:rsidRDefault="00DC24F2" w:rsidP="00DC24F2">
      <w:pPr>
        <w:spacing w:after="0" w:line="360" w:lineRule="auto"/>
        <w:ind w:left="1418" w:hanging="1418"/>
        <w:rPr>
          <w:rFonts w:ascii="Tahoma" w:hAnsi="Tahoma" w:cs="Tahoma"/>
          <w:b/>
          <w:sz w:val="28"/>
          <w:szCs w:val="28"/>
          <w:lang w:val="en-CA"/>
        </w:rPr>
      </w:pPr>
      <w:r>
        <w:rPr>
          <w:rFonts w:ascii="Tahoma" w:hAnsi="Tahoma" w:cs="Tahoma"/>
          <w:b/>
          <w:sz w:val="28"/>
          <w:szCs w:val="28"/>
          <w:lang w:val="en-CA"/>
        </w:rPr>
        <w:lastRenderedPageBreak/>
        <w:t>Table 2.2:</w:t>
      </w:r>
      <w:r>
        <w:rPr>
          <w:rFonts w:ascii="Tahoma" w:hAnsi="Tahoma" w:cs="Tahoma"/>
          <w:b/>
          <w:sz w:val="28"/>
          <w:szCs w:val="28"/>
          <w:lang w:val="en-CA"/>
        </w:rPr>
        <w:tab/>
        <w:t xml:space="preserve">Comparison of 2018 &amp; 2019 First Quarter Performance </w:t>
      </w:r>
    </w:p>
    <w:tbl>
      <w:tblPr>
        <w:tblStyle w:val="GridTable5Dark-Accent6"/>
        <w:tblW w:w="9568" w:type="dxa"/>
        <w:tblLook w:val="04A0" w:firstRow="1" w:lastRow="0" w:firstColumn="1" w:lastColumn="0" w:noHBand="0" w:noVBand="1"/>
      </w:tblPr>
      <w:tblGrid>
        <w:gridCol w:w="1078"/>
        <w:gridCol w:w="1563"/>
        <w:gridCol w:w="1107"/>
        <w:gridCol w:w="1663"/>
        <w:gridCol w:w="1107"/>
        <w:gridCol w:w="1663"/>
        <w:gridCol w:w="1387"/>
      </w:tblGrid>
      <w:tr w:rsidR="00DC24F2" w:rsidRPr="00C66279" w:rsidTr="00DC24F2">
        <w:trPr>
          <w:cnfStyle w:val="100000000000" w:firstRow="1" w:lastRow="0" w:firstColumn="0" w:lastColumn="0" w:oddVBand="0" w:evenVBand="0" w:oddHBand="0"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1078" w:type="dxa"/>
            <w:noWrap/>
            <w:hideMark/>
          </w:tcPr>
          <w:p w:rsidR="00DC24F2" w:rsidRPr="00C66279" w:rsidRDefault="00DC24F2" w:rsidP="00DC24F2">
            <w:pPr>
              <w:spacing w:after="0" w:line="240" w:lineRule="auto"/>
              <w:jc w:val="center"/>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S/N</w:t>
            </w:r>
          </w:p>
        </w:tc>
        <w:tc>
          <w:tcPr>
            <w:tcW w:w="1563" w:type="dxa"/>
            <w:hideMark/>
          </w:tcPr>
          <w:p w:rsidR="00DC24F2" w:rsidRPr="00C66279"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Revenue Categories</w:t>
            </w:r>
          </w:p>
        </w:tc>
        <w:tc>
          <w:tcPr>
            <w:tcW w:w="1107" w:type="dxa"/>
            <w:hideMark/>
          </w:tcPr>
          <w:p w:rsidR="00DC24F2" w:rsidRPr="00C66279"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 xml:space="preserve">2019 First Quarter  actual </w:t>
            </w:r>
            <w:r w:rsidRPr="00C66279">
              <w:rPr>
                <w:rFonts w:ascii="Calibri" w:eastAsia="Times New Roman" w:hAnsi="Calibri" w:cs="Times New Roman"/>
                <w:dstrike/>
                <w:color w:val="000000"/>
                <w:sz w:val="24"/>
                <w:szCs w:val="24"/>
                <w:lang w:eastAsia="cy-GB"/>
              </w:rPr>
              <w:t>N</w:t>
            </w:r>
            <w:r w:rsidRPr="00C66279">
              <w:rPr>
                <w:rFonts w:ascii="Calibri" w:eastAsia="Times New Roman" w:hAnsi="Calibri" w:cs="Times New Roman"/>
                <w:color w:val="000000"/>
                <w:sz w:val="24"/>
                <w:szCs w:val="24"/>
                <w:lang w:eastAsia="cy-GB"/>
              </w:rPr>
              <w:t>'B</w:t>
            </w:r>
          </w:p>
        </w:tc>
        <w:tc>
          <w:tcPr>
            <w:tcW w:w="1663" w:type="dxa"/>
            <w:hideMark/>
          </w:tcPr>
          <w:p w:rsidR="00DC24F2" w:rsidRPr="00C66279"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Performance %</w:t>
            </w:r>
          </w:p>
        </w:tc>
        <w:tc>
          <w:tcPr>
            <w:tcW w:w="1107" w:type="dxa"/>
            <w:hideMark/>
          </w:tcPr>
          <w:p w:rsidR="00DC24F2" w:rsidRPr="00C66279"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 xml:space="preserve">2018 First Quarter Actual </w:t>
            </w:r>
            <w:r w:rsidRPr="00C66279">
              <w:rPr>
                <w:rFonts w:ascii="Calibri" w:eastAsia="Times New Roman" w:hAnsi="Calibri" w:cs="Times New Roman"/>
                <w:dstrike/>
                <w:color w:val="000000"/>
                <w:sz w:val="24"/>
                <w:szCs w:val="24"/>
                <w:lang w:eastAsia="cy-GB"/>
              </w:rPr>
              <w:t>N</w:t>
            </w:r>
            <w:r w:rsidRPr="00C66279">
              <w:rPr>
                <w:rFonts w:ascii="Calibri" w:eastAsia="Times New Roman" w:hAnsi="Calibri" w:cs="Times New Roman"/>
                <w:color w:val="000000"/>
                <w:sz w:val="24"/>
                <w:szCs w:val="24"/>
                <w:lang w:eastAsia="cy-GB"/>
              </w:rPr>
              <w:t>'B</w:t>
            </w:r>
          </w:p>
        </w:tc>
        <w:tc>
          <w:tcPr>
            <w:tcW w:w="1663" w:type="dxa"/>
            <w:hideMark/>
          </w:tcPr>
          <w:p w:rsidR="00DC24F2" w:rsidRPr="00C66279"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Performance %</w:t>
            </w:r>
          </w:p>
        </w:tc>
        <w:tc>
          <w:tcPr>
            <w:tcW w:w="1387" w:type="dxa"/>
            <w:hideMark/>
          </w:tcPr>
          <w:p w:rsid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Difference</w:t>
            </w:r>
          </w:p>
          <w:p w:rsid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p>
          <w:p w:rsid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p>
          <w:p w:rsidR="00DC24F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p>
          <w:p w:rsidR="00DC24F2" w:rsidRPr="00C66279"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eastAsia="cy-GB"/>
              </w:rPr>
            </w:pPr>
            <w:r w:rsidRPr="00C66279">
              <w:rPr>
                <w:rFonts w:ascii="Calibri" w:eastAsia="Times New Roman" w:hAnsi="Calibri" w:cs="Times New Roman"/>
                <w:color w:val="000000"/>
                <w:sz w:val="24"/>
                <w:szCs w:val="24"/>
                <w:lang w:eastAsia="cy-GB"/>
              </w:rPr>
              <w:t xml:space="preserve"> </w:t>
            </w:r>
            <w:r w:rsidRPr="00C66279">
              <w:rPr>
                <w:rFonts w:ascii="Calibri" w:eastAsia="Times New Roman" w:hAnsi="Calibri" w:cs="Times New Roman"/>
                <w:dstrike/>
                <w:color w:val="000000"/>
                <w:sz w:val="24"/>
                <w:szCs w:val="24"/>
                <w:lang w:eastAsia="cy-GB"/>
              </w:rPr>
              <w:t>N</w:t>
            </w:r>
            <w:r w:rsidRPr="00C66279">
              <w:rPr>
                <w:rFonts w:ascii="Calibri" w:eastAsia="Times New Roman" w:hAnsi="Calibri" w:cs="Times New Roman"/>
                <w:color w:val="000000"/>
                <w:sz w:val="24"/>
                <w:szCs w:val="24"/>
                <w:lang w:eastAsia="cy-GB"/>
              </w:rPr>
              <w:t>'B</w:t>
            </w:r>
          </w:p>
        </w:tc>
      </w:tr>
      <w:tr w:rsidR="00DC24F2" w:rsidRPr="00C66279" w:rsidTr="00DC24F2">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078" w:type="dxa"/>
            <w:noWrap/>
            <w:hideMark/>
          </w:tcPr>
          <w:p w:rsidR="00DC24F2" w:rsidRPr="00C66279" w:rsidRDefault="00DC24F2" w:rsidP="00DC24F2">
            <w:pPr>
              <w:spacing w:after="0" w:line="240" w:lineRule="auto"/>
              <w:jc w:val="right"/>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1</w:t>
            </w:r>
          </w:p>
        </w:tc>
        <w:tc>
          <w:tcPr>
            <w:tcW w:w="1563" w:type="dxa"/>
            <w:hideMark/>
          </w:tcPr>
          <w:p w:rsidR="00DC24F2" w:rsidRPr="00C66279"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Revenue From Federation Account</w:t>
            </w:r>
          </w:p>
        </w:tc>
        <w:tc>
          <w:tcPr>
            <w:tcW w:w="1107"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16.151</w:t>
            </w:r>
          </w:p>
        </w:tc>
        <w:tc>
          <w:tcPr>
            <w:tcW w:w="1663"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67.8</w:t>
            </w:r>
          </w:p>
        </w:tc>
        <w:tc>
          <w:tcPr>
            <w:tcW w:w="1107"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17.465</w:t>
            </w:r>
          </w:p>
        </w:tc>
        <w:tc>
          <w:tcPr>
            <w:tcW w:w="1663"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72.2</w:t>
            </w:r>
          </w:p>
        </w:tc>
        <w:tc>
          <w:tcPr>
            <w:tcW w:w="1387"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-1.314</w:t>
            </w:r>
          </w:p>
        </w:tc>
      </w:tr>
      <w:tr w:rsidR="00DC24F2" w:rsidRPr="00C66279" w:rsidTr="00DC24F2">
        <w:trPr>
          <w:trHeight w:val="300"/>
        </w:trPr>
        <w:tc>
          <w:tcPr>
            <w:cnfStyle w:val="001000000000" w:firstRow="0" w:lastRow="0" w:firstColumn="1" w:lastColumn="0" w:oddVBand="0" w:evenVBand="0" w:oddHBand="0" w:evenHBand="0" w:firstRowFirstColumn="0" w:firstRowLastColumn="0" w:lastRowFirstColumn="0" w:lastRowLastColumn="0"/>
            <w:tcW w:w="1078" w:type="dxa"/>
            <w:noWrap/>
            <w:hideMark/>
          </w:tcPr>
          <w:p w:rsidR="00DC24F2" w:rsidRPr="00C66279" w:rsidRDefault="00DC24F2" w:rsidP="00DC24F2">
            <w:pPr>
              <w:spacing w:after="0" w:line="240" w:lineRule="auto"/>
              <w:jc w:val="right"/>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2</w:t>
            </w:r>
          </w:p>
        </w:tc>
        <w:tc>
          <w:tcPr>
            <w:tcW w:w="1563" w:type="dxa"/>
            <w:noWrap/>
            <w:hideMark/>
          </w:tcPr>
          <w:p w:rsidR="00DC24F2" w:rsidRPr="00C66279"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Independent Revenue (IGR)</w:t>
            </w:r>
          </w:p>
        </w:tc>
        <w:tc>
          <w:tcPr>
            <w:tcW w:w="1107"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3.436</w:t>
            </w:r>
          </w:p>
        </w:tc>
        <w:tc>
          <w:tcPr>
            <w:tcW w:w="1663"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54.7</w:t>
            </w:r>
          </w:p>
        </w:tc>
        <w:tc>
          <w:tcPr>
            <w:tcW w:w="1107"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3.053</w:t>
            </w:r>
          </w:p>
        </w:tc>
        <w:tc>
          <w:tcPr>
            <w:tcW w:w="1663"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58.1</w:t>
            </w:r>
          </w:p>
        </w:tc>
        <w:tc>
          <w:tcPr>
            <w:tcW w:w="1387"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0.383</w:t>
            </w:r>
          </w:p>
        </w:tc>
      </w:tr>
      <w:tr w:rsidR="00DC24F2" w:rsidRPr="00C66279" w:rsidTr="00DC24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8" w:type="dxa"/>
            <w:noWrap/>
            <w:hideMark/>
          </w:tcPr>
          <w:p w:rsidR="00DC24F2" w:rsidRPr="00C66279" w:rsidRDefault="00DC24F2" w:rsidP="00DC24F2">
            <w:pPr>
              <w:spacing w:after="0" w:line="240" w:lineRule="auto"/>
              <w:jc w:val="right"/>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3</w:t>
            </w:r>
          </w:p>
        </w:tc>
        <w:tc>
          <w:tcPr>
            <w:tcW w:w="1563" w:type="dxa"/>
            <w:noWrap/>
            <w:hideMark/>
          </w:tcPr>
          <w:p w:rsidR="00DC24F2" w:rsidRPr="00C66279"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Other Revenue Sources</w:t>
            </w:r>
          </w:p>
        </w:tc>
        <w:tc>
          <w:tcPr>
            <w:tcW w:w="1107"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4.134</w:t>
            </w:r>
          </w:p>
        </w:tc>
        <w:tc>
          <w:tcPr>
            <w:tcW w:w="1663"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14.18</w:t>
            </w:r>
          </w:p>
        </w:tc>
        <w:tc>
          <w:tcPr>
            <w:tcW w:w="1107"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0.708</w:t>
            </w:r>
          </w:p>
        </w:tc>
        <w:tc>
          <w:tcPr>
            <w:tcW w:w="1663"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4.4</w:t>
            </w:r>
          </w:p>
        </w:tc>
        <w:tc>
          <w:tcPr>
            <w:tcW w:w="1387" w:type="dxa"/>
            <w:noWrap/>
            <w:hideMark/>
          </w:tcPr>
          <w:p w:rsidR="00DC24F2" w:rsidRPr="00C66279"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3.426</w:t>
            </w:r>
          </w:p>
        </w:tc>
      </w:tr>
      <w:tr w:rsidR="00DC24F2" w:rsidRPr="00C66279" w:rsidTr="00DC24F2">
        <w:trPr>
          <w:trHeight w:val="300"/>
        </w:trPr>
        <w:tc>
          <w:tcPr>
            <w:cnfStyle w:val="001000000000" w:firstRow="0" w:lastRow="0" w:firstColumn="1" w:lastColumn="0" w:oddVBand="0" w:evenVBand="0" w:oddHBand="0" w:evenHBand="0" w:firstRowFirstColumn="0" w:firstRowLastColumn="0" w:lastRowFirstColumn="0" w:lastRowLastColumn="0"/>
            <w:tcW w:w="1078" w:type="dxa"/>
            <w:noWrap/>
            <w:hideMark/>
          </w:tcPr>
          <w:p w:rsidR="00DC24F2" w:rsidRPr="00C66279" w:rsidRDefault="00DC24F2" w:rsidP="00DC24F2">
            <w:pPr>
              <w:spacing w:after="0" w:line="240" w:lineRule="auto"/>
              <w:rPr>
                <w:rFonts w:ascii="Calibri" w:eastAsia="Times New Roman" w:hAnsi="Calibri" w:cs="Times New Roman"/>
                <w:color w:val="000000"/>
                <w:lang w:eastAsia="cy-GB"/>
              </w:rPr>
            </w:pPr>
            <w:r w:rsidRPr="00C66279">
              <w:rPr>
                <w:rFonts w:ascii="Calibri" w:eastAsia="Times New Roman" w:hAnsi="Calibri" w:cs="Times New Roman"/>
                <w:color w:val="000000"/>
                <w:lang w:eastAsia="cy-GB"/>
              </w:rPr>
              <w:t> </w:t>
            </w:r>
          </w:p>
        </w:tc>
        <w:tc>
          <w:tcPr>
            <w:tcW w:w="1563"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Total</w:t>
            </w:r>
          </w:p>
        </w:tc>
        <w:tc>
          <w:tcPr>
            <w:tcW w:w="1107"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23.722</w:t>
            </w:r>
          </w:p>
        </w:tc>
        <w:tc>
          <w:tcPr>
            <w:tcW w:w="1663"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48.93</w:t>
            </w:r>
          </w:p>
        </w:tc>
        <w:tc>
          <w:tcPr>
            <w:tcW w:w="1107"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21.226</w:t>
            </w:r>
          </w:p>
        </w:tc>
        <w:tc>
          <w:tcPr>
            <w:tcW w:w="1663"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46.8</w:t>
            </w:r>
          </w:p>
        </w:tc>
        <w:tc>
          <w:tcPr>
            <w:tcW w:w="1387" w:type="dxa"/>
            <w:noWrap/>
            <w:hideMark/>
          </w:tcPr>
          <w:p w:rsidR="00DC24F2" w:rsidRPr="00C66279"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66279">
              <w:rPr>
                <w:rFonts w:ascii="Calibri" w:eastAsia="Times New Roman" w:hAnsi="Calibri" w:cs="Times New Roman"/>
                <w:b/>
                <w:bCs/>
                <w:color w:val="000000"/>
                <w:lang w:eastAsia="cy-GB"/>
              </w:rPr>
              <w:t>2.496</w:t>
            </w:r>
          </w:p>
        </w:tc>
      </w:tr>
    </w:tbl>
    <w:p w:rsidR="00DC24F2" w:rsidRDefault="00DC24F2" w:rsidP="00DC24F2">
      <w:pPr>
        <w:spacing w:after="0" w:line="360" w:lineRule="auto"/>
        <w:rPr>
          <w:rFonts w:ascii="Tahoma" w:hAnsi="Tahoma" w:cs="Tahoma"/>
          <w:b/>
          <w:sz w:val="28"/>
          <w:szCs w:val="28"/>
          <w:lang w:val="en-CA"/>
        </w:rPr>
      </w:pPr>
    </w:p>
    <w:p w:rsidR="00DC24F2" w:rsidRPr="00DC24F2" w:rsidRDefault="00DC24F2" w:rsidP="00DC24F2">
      <w:pPr>
        <w:spacing w:after="0" w:line="480" w:lineRule="auto"/>
        <w:rPr>
          <w:rFonts w:ascii="Tahoma" w:hAnsi="Tahoma" w:cs="Tahoma"/>
          <w:sz w:val="28"/>
          <w:szCs w:val="28"/>
          <w:lang w:val="en-CA"/>
        </w:rPr>
      </w:pPr>
      <w:r>
        <w:rPr>
          <w:rFonts w:ascii="Tahoma" w:hAnsi="Tahoma" w:cs="Tahoma"/>
          <w:b/>
          <w:sz w:val="28"/>
          <w:szCs w:val="28"/>
          <w:lang w:val="en-CA"/>
        </w:rPr>
        <w:tab/>
      </w:r>
      <w:r>
        <w:rPr>
          <w:rFonts w:ascii="Tahoma" w:hAnsi="Tahoma" w:cs="Tahoma"/>
          <w:sz w:val="28"/>
          <w:szCs w:val="28"/>
          <w:lang w:val="en-CA"/>
        </w:rPr>
        <w:t>Table 2.2 shows the comparison between 2018 and 2019 first quarter revenue performances. Revenue from Federation Account decreased in 2019 first quarter while IGR and Revenue from Other Sources increased in 2019 first quarter.</w:t>
      </w:r>
    </w:p>
    <w:p w:rsidR="00DC24F2" w:rsidRPr="000521DB" w:rsidRDefault="00DC24F2" w:rsidP="00DC24F2">
      <w:pPr>
        <w:spacing w:after="0" w:line="360" w:lineRule="auto"/>
        <w:rPr>
          <w:rFonts w:ascii="Tahoma" w:hAnsi="Tahoma" w:cs="Tahoma"/>
          <w:sz w:val="28"/>
          <w:szCs w:val="28"/>
          <w:lang w:val="en-CA"/>
        </w:rPr>
      </w:pPr>
      <w:r>
        <w:rPr>
          <w:rFonts w:ascii="Tahoma" w:hAnsi="Tahoma" w:cs="Tahoma"/>
          <w:b/>
          <w:sz w:val="28"/>
          <w:szCs w:val="28"/>
          <w:lang w:val="en-CA"/>
        </w:rPr>
        <w:t xml:space="preserve">Figure 2.4: Bar Chart showing Components of Revenue from </w:t>
      </w:r>
      <w:r>
        <w:rPr>
          <w:rFonts w:ascii="Tahoma" w:hAnsi="Tahoma" w:cs="Tahoma"/>
          <w:b/>
          <w:sz w:val="28"/>
          <w:szCs w:val="28"/>
          <w:lang w:val="en-CA"/>
        </w:rPr>
        <w:tab/>
        <w:t xml:space="preserve">    </w:t>
      </w:r>
      <w:r>
        <w:rPr>
          <w:rFonts w:ascii="Tahoma" w:hAnsi="Tahoma" w:cs="Tahoma"/>
          <w:b/>
          <w:sz w:val="28"/>
          <w:szCs w:val="28"/>
          <w:lang w:val="en-CA"/>
        </w:rPr>
        <w:tab/>
      </w:r>
      <w:r>
        <w:rPr>
          <w:rFonts w:ascii="Tahoma" w:hAnsi="Tahoma" w:cs="Tahoma"/>
          <w:b/>
          <w:sz w:val="28"/>
          <w:szCs w:val="28"/>
          <w:lang w:val="en-CA"/>
        </w:rPr>
        <w:tab/>
        <w:t xml:space="preserve">  Federation Account </w:t>
      </w:r>
      <w:r>
        <w:rPr>
          <w:rFonts w:ascii="Tahoma" w:hAnsi="Tahoma" w:cs="Tahoma"/>
          <w:b/>
          <w:sz w:val="28"/>
          <w:szCs w:val="28"/>
          <w:lang w:val="en-CA"/>
        </w:rPr>
        <w:tab/>
        <w:t xml:space="preserve">     </w:t>
      </w:r>
      <w:r>
        <w:rPr>
          <w:rFonts w:ascii="Tahoma" w:hAnsi="Tahoma" w:cs="Tahoma"/>
          <w:b/>
          <w:sz w:val="28"/>
          <w:szCs w:val="28"/>
          <w:lang w:val="en-CA"/>
        </w:rPr>
        <w:tab/>
      </w:r>
      <w:r>
        <w:rPr>
          <w:rFonts w:ascii="Tahoma" w:hAnsi="Tahoma" w:cs="Tahoma"/>
          <w:b/>
          <w:sz w:val="28"/>
          <w:szCs w:val="28"/>
          <w:lang w:val="en-CA"/>
        </w:rPr>
        <w:tab/>
        <w:t xml:space="preserve"> </w:t>
      </w:r>
    </w:p>
    <w:p w:rsidR="00DC24F2" w:rsidRDefault="00DC24F2" w:rsidP="00DC24F2">
      <w:pPr>
        <w:spacing w:after="0" w:line="360" w:lineRule="auto"/>
        <w:rPr>
          <w:rFonts w:ascii="Tahoma" w:hAnsi="Tahoma" w:cs="Tahoma"/>
          <w:b/>
          <w:sz w:val="28"/>
          <w:szCs w:val="28"/>
          <w:lang w:val="en-CA"/>
        </w:rPr>
      </w:pPr>
      <w:r>
        <w:rPr>
          <w:noProof/>
          <w:lang w:eastAsia="cy-GB"/>
        </w:rPr>
        <w:drawing>
          <wp:inline distT="0" distB="0" distL="0" distR="0" wp14:anchorId="6C9629FE" wp14:editId="57D5E836">
            <wp:extent cx="6105525" cy="327660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C24F2" w:rsidRDefault="00DC24F2" w:rsidP="00DC24F2">
      <w:pPr>
        <w:pStyle w:val="NoSpacing"/>
        <w:spacing w:line="480" w:lineRule="auto"/>
        <w:ind w:firstLine="720"/>
        <w:jc w:val="both"/>
        <w:rPr>
          <w:rFonts w:ascii="Tahoma" w:hAnsi="Tahoma" w:cs="Tahoma"/>
          <w:sz w:val="28"/>
          <w:szCs w:val="28"/>
        </w:rPr>
      </w:pPr>
      <w:r>
        <w:rPr>
          <w:rFonts w:ascii="Tahoma" w:hAnsi="Tahoma" w:cs="Tahoma"/>
          <w:sz w:val="28"/>
          <w:szCs w:val="28"/>
        </w:rPr>
        <w:lastRenderedPageBreak/>
        <w:tab/>
        <w:t xml:space="preserve">Figure 2.4 shows the components of revenue from Federation Account. The approved targets for Statutory Allocation was </w:t>
      </w:r>
      <w:r w:rsidRPr="00DF613C">
        <w:rPr>
          <w:rFonts w:ascii="Tahoma" w:hAnsi="Tahoma" w:cs="Tahoma"/>
          <w:dstrike/>
          <w:sz w:val="28"/>
          <w:szCs w:val="28"/>
        </w:rPr>
        <w:t>N</w:t>
      </w:r>
      <w:r>
        <w:rPr>
          <w:rFonts w:ascii="Tahoma" w:hAnsi="Tahoma" w:cs="Tahoma"/>
          <w:sz w:val="28"/>
          <w:szCs w:val="28"/>
        </w:rPr>
        <w:t xml:space="preserve">11.887 billion, Value Added Tax </w:t>
      </w:r>
      <w:r w:rsidRPr="00DF613C">
        <w:rPr>
          <w:rFonts w:ascii="Tahoma" w:hAnsi="Tahoma" w:cs="Tahoma"/>
          <w:dstrike/>
          <w:sz w:val="28"/>
          <w:szCs w:val="28"/>
        </w:rPr>
        <w:t>N</w:t>
      </w:r>
      <w:r>
        <w:rPr>
          <w:rFonts w:ascii="Tahoma" w:hAnsi="Tahoma" w:cs="Tahoma"/>
          <w:sz w:val="28"/>
          <w:szCs w:val="28"/>
        </w:rPr>
        <w:t xml:space="preserve">3.255 billion, Mineral Derivation Fund </w:t>
      </w:r>
      <w:r w:rsidRPr="00DF613C">
        <w:rPr>
          <w:rFonts w:ascii="Tahoma" w:hAnsi="Tahoma" w:cs="Tahoma"/>
          <w:dstrike/>
          <w:sz w:val="28"/>
          <w:szCs w:val="28"/>
        </w:rPr>
        <w:t>N</w:t>
      </w:r>
      <w:r>
        <w:rPr>
          <w:rFonts w:ascii="Tahoma" w:hAnsi="Tahoma" w:cs="Tahoma"/>
          <w:sz w:val="28"/>
          <w:szCs w:val="28"/>
        </w:rPr>
        <w:t xml:space="preserve">4.418 billion, Exchange Gain </w:t>
      </w:r>
      <w:r w:rsidRPr="00DF613C">
        <w:rPr>
          <w:rFonts w:ascii="Tahoma" w:hAnsi="Tahoma" w:cs="Tahoma"/>
          <w:dstrike/>
          <w:sz w:val="28"/>
          <w:szCs w:val="28"/>
        </w:rPr>
        <w:t>N</w:t>
      </w:r>
      <w:r>
        <w:rPr>
          <w:rFonts w:ascii="Tahoma" w:hAnsi="Tahoma" w:cs="Tahoma"/>
          <w:sz w:val="28"/>
          <w:szCs w:val="28"/>
        </w:rPr>
        <w:t xml:space="preserve">0.210 billion, Refund on Federal Roads </w:t>
      </w:r>
      <w:r w:rsidRPr="00DF613C">
        <w:rPr>
          <w:rFonts w:ascii="Tahoma" w:hAnsi="Tahoma" w:cs="Tahoma"/>
          <w:dstrike/>
          <w:sz w:val="28"/>
          <w:szCs w:val="28"/>
        </w:rPr>
        <w:t>N</w:t>
      </w:r>
      <w:r>
        <w:rPr>
          <w:rFonts w:ascii="Tahoma" w:hAnsi="Tahoma" w:cs="Tahoma"/>
          <w:sz w:val="28"/>
          <w:szCs w:val="28"/>
        </w:rPr>
        <w:t xml:space="preserve">1.075 billion, Forex Stabilization Account </w:t>
      </w:r>
      <w:r w:rsidRPr="00DF613C">
        <w:rPr>
          <w:rFonts w:ascii="Tahoma" w:hAnsi="Tahoma" w:cs="Tahoma"/>
          <w:dstrike/>
          <w:sz w:val="28"/>
          <w:szCs w:val="28"/>
        </w:rPr>
        <w:t>N</w:t>
      </w:r>
      <w:r>
        <w:rPr>
          <w:rFonts w:ascii="Tahoma" w:hAnsi="Tahoma" w:cs="Tahoma"/>
          <w:sz w:val="28"/>
          <w:szCs w:val="28"/>
        </w:rPr>
        <w:t xml:space="preserve">0.579 billion, Withholding Tax Refund from FGN </w:t>
      </w:r>
      <w:r w:rsidRPr="00DF613C">
        <w:rPr>
          <w:rFonts w:ascii="Tahoma" w:hAnsi="Tahoma" w:cs="Tahoma"/>
          <w:dstrike/>
          <w:sz w:val="28"/>
          <w:szCs w:val="28"/>
        </w:rPr>
        <w:t>N</w:t>
      </w:r>
      <w:r>
        <w:rPr>
          <w:rFonts w:ascii="Tahoma" w:hAnsi="Tahoma" w:cs="Tahoma"/>
          <w:sz w:val="28"/>
          <w:szCs w:val="28"/>
        </w:rPr>
        <w:t>2.400 billion.</w:t>
      </w:r>
    </w:p>
    <w:p w:rsidR="00DC24F2" w:rsidRDefault="00DC24F2" w:rsidP="00DC24F2">
      <w:pPr>
        <w:pStyle w:val="NoSpacing"/>
        <w:spacing w:line="480" w:lineRule="auto"/>
        <w:ind w:firstLine="720"/>
        <w:jc w:val="both"/>
        <w:rPr>
          <w:rFonts w:ascii="Tahoma" w:hAnsi="Tahoma" w:cs="Tahoma"/>
          <w:sz w:val="28"/>
          <w:szCs w:val="28"/>
        </w:rPr>
      </w:pPr>
      <w:r>
        <w:rPr>
          <w:rFonts w:ascii="Tahoma" w:hAnsi="Tahoma" w:cs="Tahoma"/>
          <w:sz w:val="28"/>
          <w:szCs w:val="28"/>
        </w:rPr>
        <w:t xml:space="preserve"> At the end of the quarter, the actual of Statutory Allocation was </w:t>
      </w:r>
      <w:r w:rsidRPr="00DF613C">
        <w:rPr>
          <w:rFonts w:ascii="Tahoma" w:hAnsi="Tahoma" w:cs="Tahoma"/>
          <w:dstrike/>
          <w:sz w:val="28"/>
          <w:szCs w:val="28"/>
        </w:rPr>
        <w:t>N</w:t>
      </w:r>
      <w:r>
        <w:rPr>
          <w:rFonts w:ascii="Tahoma" w:hAnsi="Tahoma" w:cs="Tahoma"/>
          <w:sz w:val="28"/>
          <w:szCs w:val="28"/>
        </w:rPr>
        <w:t xml:space="preserve">8.828 billion, Value Added Tax </w:t>
      </w:r>
      <w:r w:rsidRPr="00DF613C">
        <w:rPr>
          <w:rFonts w:ascii="Tahoma" w:hAnsi="Tahoma" w:cs="Tahoma"/>
          <w:dstrike/>
          <w:sz w:val="28"/>
          <w:szCs w:val="28"/>
        </w:rPr>
        <w:t>N</w:t>
      </w:r>
      <w:r>
        <w:rPr>
          <w:rFonts w:ascii="Tahoma" w:hAnsi="Tahoma" w:cs="Tahoma"/>
          <w:sz w:val="28"/>
          <w:szCs w:val="28"/>
        </w:rPr>
        <w:t xml:space="preserve">3.219 billion, Mineral Derivation Fund </w:t>
      </w:r>
      <w:r w:rsidRPr="00DF613C">
        <w:rPr>
          <w:rFonts w:ascii="Tahoma" w:hAnsi="Tahoma" w:cs="Tahoma"/>
          <w:dstrike/>
          <w:sz w:val="28"/>
          <w:szCs w:val="28"/>
        </w:rPr>
        <w:t>N</w:t>
      </w:r>
      <w:r>
        <w:rPr>
          <w:rFonts w:ascii="Tahoma" w:hAnsi="Tahoma" w:cs="Tahoma"/>
          <w:sz w:val="28"/>
          <w:szCs w:val="28"/>
        </w:rPr>
        <w:t xml:space="preserve">3.681 billion, Exchange Gain </w:t>
      </w:r>
      <w:r w:rsidRPr="00DF613C">
        <w:rPr>
          <w:rFonts w:ascii="Tahoma" w:hAnsi="Tahoma" w:cs="Tahoma"/>
          <w:dstrike/>
          <w:sz w:val="28"/>
          <w:szCs w:val="28"/>
        </w:rPr>
        <w:t>N</w:t>
      </w:r>
      <w:r>
        <w:rPr>
          <w:rFonts w:ascii="Tahoma" w:hAnsi="Tahoma" w:cs="Tahoma"/>
          <w:sz w:val="28"/>
          <w:szCs w:val="28"/>
        </w:rPr>
        <w:t xml:space="preserve">0.014 billion and Forex Stabilization Account </w:t>
      </w:r>
      <w:r w:rsidRPr="00DF613C">
        <w:rPr>
          <w:rFonts w:ascii="Tahoma" w:hAnsi="Tahoma" w:cs="Tahoma"/>
          <w:dstrike/>
          <w:sz w:val="28"/>
          <w:szCs w:val="28"/>
        </w:rPr>
        <w:t>N</w:t>
      </w:r>
      <w:r>
        <w:rPr>
          <w:rFonts w:ascii="Tahoma" w:hAnsi="Tahoma" w:cs="Tahoma"/>
          <w:sz w:val="28"/>
          <w:szCs w:val="28"/>
        </w:rPr>
        <w:t xml:space="preserve">0.409 billion. No receipt was recorded for Refund on Federal Roads and Withholding Tax Refund from Federal Government for the quarter. </w:t>
      </w:r>
    </w:p>
    <w:p w:rsidR="00DC24F2" w:rsidRPr="00DC24F2" w:rsidRDefault="00DC24F2" w:rsidP="00D572D0">
      <w:pPr>
        <w:pStyle w:val="NoSpacing"/>
        <w:spacing w:line="480" w:lineRule="auto"/>
        <w:ind w:left="1843" w:hanging="1843"/>
        <w:jc w:val="both"/>
        <w:rPr>
          <w:rFonts w:ascii="Tahoma" w:hAnsi="Tahoma" w:cs="Tahoma"/>
          <w:sz w:val="28"/>
          <w:szCs w:val="28"/>
        </w:rPr>
      </w:pPr>
      <w:r>
        <w:rPr>
          <w:rFonts w:ascii="Tahoma" w:hAnsi="Tahoma" w:cs="Tahoma"/>
          <w:b/>
          <w:sz w:val="28"/>
          <w:szCs w:val="28"/>
        </w:rPr>
        <w:t xml:space="preserve">Figure 2.5: Bar Chart showing Components of Independent Revenue </w:t>
      </w:r>
    </w:p>
    <w:p w:rsidR="00DC24F2" w:rsidRDefault="00DC24F2" w:rsidP="00DC24F2">
      <w:pPr>
        <w:spacing w:after="0" w:line="360" w:lineRule="auto"/>
        <w:rPr>
          <w:rFonts w:ascii="Tahoma" w:hAnsi="Tahoma" w:cs="Tahoma"/>
          <w:b/>
          <w:sz w:val="28"/>
          <w:szCs w:val="28"/>
          <w:lang w:val="en-CA"/>
        </w:rPr>
      </w:pPr>
      <w:r>
        <w:rPr>
          <w:noProof/>
          <w:lang w:eastAsia="cy-GB"/>
        </w:rPr>
        <w:drawing>
          <wp:inline distT="0" distB="0" distL="0" distR="0" wp14:anchorId="443A5208" wp14:editId="0C69E4C3">
            <wp:extent cx="5915025" cy="304800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C24F2" w:rsidRDefault="00DC24F2" w:rsidP="00DC24F2">
      <w:pPr>
        <w:spacing w:after="0" w:line="360" w:lineRule="auto"/>
        <w:rPr>
          <w:rFonts w:ascii="Tahoma" w:hAnsi="Tahoma" w:cs="Tahoma"/>
          <w:b/>
          <w:sz w:val="28"/>
          <w:szCs w:val="28"/>
          <w:lang w:val="en-CA"/>
        </w:rPr>
      </w:pPr>
    </w:p>
    <w:p w:rsidR="00DC24F2" w:rsidRPr="006B5DF7" w:rsidRDefault="00DC24F2" w:rsidP="00DC24F2">
      <w:pPr>
        <w:spacing w:after="0" w:line="480" w:lineRule="auto"/>
        <w:jc w:val="both"/>
        <w:rPr>
          <w:rFonts w:ascii="Tahoma" w:hAnsi="Tahoma" w:cs="Tahoma"/>
          <w:sz w:val="28"/>
          <w:szCs w:val="28"/>
          <w:lang w:val="en-CA"/>
        </w:rPr>
      </w:pPr>
      <w:r>
        <w:rPr>
          <w:rFonts w:ascii="Tahoma" w:hAnsi="Tahoma" w:cs="Tahoma"/>
          <w:b/>
          <w:sz w:val="28"/>
          <w:szCs w:val="28"/>
          <w:lang w:val="en-CA"/>
        </w:rPr>
        <w:tab/>
      </w:r>
      <w:r>
        <w:rPr>
          <w:rFonts w:ascii="Tahoma" w:hAnsi="Tahoma" w:cs="Tahoma"/>
          <w:sz w:val="28"/>
          <w:szCs w:val="28"/>
          <w:lang w:val="en-CA"/>
        </w:rPr>
        <w:t>Figure 2.5</w:t>
      </w:r>
      <w:r w:rsidRPr="00137FE9">
        <w:rPr>
          <w:rFonts w:ascii="Tahoma" w:hAnsi="Tahoma" w:cs="Tahoma"/>
          <w:sz w:val="28"/>
          <w:szCs w:val="28"/>
          <w:lang w:val="en-CA"/>
        </w:rPr>
        <w:t xml:space="preserve"> </w:t>
      </w:r>
      <w:r>
        <w:rPr>
          <w:rFonts w:ascii="Tahoma" w:hAnsi="Tahoma" w:cs="Tahoma"/>
          <w:sz w:val="28"/>
          <w:szCs w:val="28"/>
          <w:lang w:val="en-CA"/>
        </w:rPr>
        <w:t xml:space="preserve">depicts the 2019 first quarter targets and actuals for Independent Revenue. It shows that approved targets for BIR was </w:t>
      </w:r>
      <w:r w:rsidRPr="00137FE9">
        <w:rPr>
          <w:rFonts w:ascii="Tahoma" w:hAnsi="Tahoma" w:cs="Tahoma"/>
          <w:dstrike/>
          <w:sz w:val="28"/>
          <w:szCs w:val="28"/>
          <w:lang w:val="en-CA"/>
        </w:rPr>
        <w:t>N</w:t>
      </w:r>
      <w:r>
        <w:rPr>
          <w:rFonts w:ascii="Tahoma" w:hAnsi="Tahoma" w:cs="Tahoma"/>
          <w:sz w:val="28"/>
          <w:szCs w:val="28"/>
          <w:lang w:val="en-CA"/>
        </w:rPr>
        <w:t xml:space="preserve">3.818 billion and MEDAs </w:t>
      </w:r>
      <w:r w:rsidRPr="00137FE9">
        <w:rPr>
          <w:rFonts w:ascii="Tahoma" w:hAnsi="Tahoma" w:cs="Tahoma"/>
          <w:dstrike/>
          <w:sz w:val="28"/>
          <w:szCs w:val="28"/>
          <w:lang w:val="en-CA"/>
        </w:rPr>
        <w:t>N</w:t>
      </w:r>
      <w:r>
        <w:rPr>
          <w:rFonts w:ascii="Tahoma" w:hAnsi="Tahoma" w:cs="Tahoma"/>
          <w:sz w:val="28"/>
          <w:szCs w:val="28"/>
          <w:lang w:val="en-CA"/>
        </w:rPr>
        <w:t>2.463</w:t>
      </w:r>
      <w:r w:rsidRPr="006851AD">
        <w:rPr>
          <w:rFonts w:ascii="Tahoma" w:hAnsi="Tahoma" w:cs="Tahoma"/>
          <w:sz w:val="28"/>
          <w:szCs w:val="28"/>
          <w:lang w:val="en-CA"/>
        </w:rPr>
        <w:t xml:space="preserve"> billion</w:t>
      </w:r>
      <w:r>
        <w:rPr>
          <w:rFonts w:ascii="Tahoma" w:hAnsi="Tahoma" w:cs="Tahoma"/>
          <w:sz w:val="28"/>
          <w:szCs w:val="28"/>
          <w:lang w:val="en-CA"/>
        </w:rPr>
        <w:t xml:space="preserve">, there was no target for Revenue Retaining Agencies. At the end of the quarter, BIR generated </w:t>
      </w:r>
      <w:r w:rsidRPr="00137FE9">
        <w:rPr>
          <w:rFonts w:ascii="Tahoma" w:hAnsi="Tahoma" w:cs="Tahoma"/>
          <w:dstrike/>
          <w:sz w:val="28"/>
          <w:szCs w:val="28"/>
          <w:lang w:val="en-CA"/>
        </w:rPr>
        <w:t>N</w:t>
      </w:r>
      <w:r>
        <w:rPr>
          <w:rFonts w:ascii="Tahoma" w:hAnsi="Tahoma" w:cs="Tahoma"/>
          <w:sz w:val="28"/>
          <w:szCs w:val="28"/>
          <w:lang w:val="en-CA"/>
        </w:rPr>
        <w:t xml:space="preserve">2.583 billion, MEDAs </w:t>
      </w:r>
      <w:r w:rsidRPr="00137FE9">
        <w:rPr>
          <w:rFonts w:ascii="Tahoma" w:hAnsi="Tahoma" w:cs="Tahoma"/>
          <w:dstrike/>
          <w:sz w:val="28"/>
          <w:szCs w:val="28"/>
          <w:lang w:val="en-CA"/>
        </w:rPr>
        <w:t>N</w:t>
      </w:r>
      <w:r>
        <w:rPr>
          <w:rFonts w:ascii="Tahoma" w:hAnsi="Tahoma" w:cs="Tahoma"/>
          <w:sz w:val="28"/>
          <w:szCs w:val="28"/>
          <w:lang w:val="en-CA"/>
        </w:rPr>
        <w:t xml:space="preserve">0.853 billion and RRA </w:t>
      </w:r>
      <w:r w:rsidRPr="00137FE9">
        <w:rPr>
          <w:rFonts w:ascii="Tahoma" w:hAnsi="Tahoma" w:cs="Tahoma"/>
          <w:dstrike/>
          <w:sz w:val="28"/>
          <w:szCs w:val="28"/>
          <w:lang w:val="en-CA"/>
        </w:rPr>
        <w:t>N</w:t>
      </w:r>
      <w:r>
        <w:rPr>
          <w:rFonts w:ascii="Tahoma" w:hAnsi="Tahoma" w:cs="Tahoma"/>
          <w:sz w:val="28"/>
          <w:szCs w:val="28"/>
          <w:lang w:val="en-CA"/>
        </w:rPr>
        <w:t xml:space="preserve">1.763 billion. </w:t>
      </w:r>
    </w:p>
    <w:p w:rsidR="00DC24F2" w:rsidRPr="00D33A7C" w:rsidRDefault="00DC24F2" w:rsidP="00D572D0">
      <w:pPr>
        <w:spacing w:line="360" w:lineRule="auto"/>
        <w:ind w:left="1701" w:hanging="1843"/>
        <w:jc w:val="both"/>
        <w:rPr>
          <w:rFonts w:ascii="Tahoma" w:hAnsi="Tahoma" w:cs="Tahoma"/>
          <w:sz w:val="28"/>
          <w:szCs w:val="28"/>
          <w:lang w:val="en-CA"/>
        </w:rPr>
      </w:pPr>
      <w:r>
        <w:rPr>
          <w:rFonts w:ascii="Tahoma" w:hAnsi="Tahoma" w:cs="Tahoma"/>
          <w:b/>
          <w:sz w:val="28"/>
          <w:szCs w:val="28"/>
        </w:rPr>
        <w:t>Figure 2.6</w:t>
      </w:r>
      <w:r w:rsidRPr="00302C13">
        <w:rPr>
          <w:rFonts w:ascii="Tahoma" w:hAnsi="Tahoma" w:cs="Tahoma"/>
          <w:b/>
          <w:sz w:val="28"/>
          <w:szCs w:val="28"/>
        </w:rPr>
        <w:t xml:space="preserve">: Bar Chart Showing </w:t>
      </w:r>
      <w:r>
        <w:rPr>
          <w:rFonts w:ascii="Tahoma" w:hAnsi="Tahoma" w:cs="Tahoma"/>
          <w:b/>
          <w:sz w:val="28"/>
          <w:szCs w:val="28"/>
        </w:rPr>
        <w:t xml:space="preserve">Components of Revenue from Other </w:t>
      </w:r>
      <w:r w:rsidRPr="00302C13">
        <w:rPr>
          <w:rFonts w:ascii="Tahoma" w:hAnsi="Tahoma" w:cs="Tahoma"/>
          <w:b/>
          <w:sz w:val="28"/>
          <w:szCs w:val="28"/>
        </w:rPr>
        <w:t>Sources</w:t>
      </w:r>
    </w:p>
    <w:p w:rsidR="00DC24F2" w:rsidRPr="00A47910" w:rsidRDefault="00DC24F2" w:rsidP="00DC24F2">
      <w:pPr>
        <w:rPr>
          <w:vanish/>
          <w:lang w:val="en-CA"/>
          <w:specVanish/>
        </w:rPr>
      </w:pPr>
      <w:r>
        <w:rPr>
          <w:noProof/>
          <w:lang w:eastAsia="cy-GB"/>
        </w:rPr>
        <w:drawing>
          <wp:inline distT="0" distB="0" distL="0" distR="0" wp14:anchorId="5579B6E0" wp14:editId="39698565">
            <wp:extent cx="5781675" cy="44291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lang w:val="en-CA"/>
        </w:rPr>
        <w:t xml:space="preserve"> </w:t>
      </w:r>
    </w:p>
    <w:p w:rsidR="00DC24F2" w:rsidRDefault="00DC24F2" w:rsidP="00DC24F2">
      <w:pPr>
        <w:spacing w:line="480" w:lineRule="auto"/>
        <w:ind w:firstLine="720"/>
        <w:jc w:val="both"/>
        <w:rPr>
          <w:rFonts w:ascii="Tahoma" w:hAnsi="Tahoma" w:cs="Tahoma"/>
          <w:sz w:val="28"/>
          <w:szCs w:val="28"/>
          <w:lang w:val="en-CA"/>
        </w:rPr>
      </w:pPr>
      <w:r>
        <w:rPr>
          <w:rFonts w:ascii="Tahoma" w:hAnsi="Tahoma" w:cs="Tahoma"/>
          <w:sz w:val="28"/>
          <w:szCs w:val="28"/>
          <w:lang w:val="en-CA"/>
        </w:rPr>
        <w:t xml:space="preserve"> </w:t>
      </w:r>
    </w:p>
    <w:p w:rsidR="00DC24F2" w:rsidRDefault="00DC24F2" w:rsidP="00DC24F2">
      <w:pPr>
        <w:spacing w:line="480" w:lineRule="auto"/>
        <w:ind w:firstLine="720"/>
        <w:jc w:val="both"/>
        <w:rPr>
          <w:rFonts w:ascii="Tahoma" w:hAnsi="Tahoma" w:cs="Tahoma"/>
          <w:sz w:val="28"/>
          <w:szCs w:val="28"/>
          <w:lang w:val="en-CA"/>
        </w:rPr>
      </w:pPr>
      <w:r>
        <w:rPr>
          <w:rFonts w:ascii="Tahoma" w:hAnsi="Tahoma" w:cs="Tahoma"/>
          <w:sz w:val="28"/>
          <w:szCs w:val="28"/>
          <w:lang w:val="en-CA"/>
        </w:rPr>
        <w:t xml:space="preserve">Figure 2.6 shows the targets and actuals of components of Revenue from Other Sources for 2019 first quarter. The Rollover Fund (Fixed Deposit Recall) actual was </w:t>
      </w:r>
      <w:r w:rsidRPr="00137FE9">
        <w:rPr>
          <w:rFonts w:ascii="Tahoma" w:hAnsi="Tahoma" w:cs="Tahoma"/>
          <w:dstrike/>
          <w:sz w:val="28"/>
          <w:szCs w:val="28"/>
          <w:lang w:val="en-CA"/>
        </w:rPr>
        <w:t>N</w:t>
      </w:r>
      <w:r>
        <w:rPr>
          <w:rFonts w:ascii="Tahoma" w:hAnsi="Tahoma" w:cs="Tahoma"/>
          <w:sz w:val="28"/>
          <w:szCs w:val="28"/>
          <w:lang w:val="en-CA"/>
        </w:rPr>
        <w:t xml:space="preserve">2.900 billion against target of </w:t>
      </w:r>
      <w:r w:rsidRPr="00137FE9">
        <w:rPr>
          <w:rFonts w:ascii="Tahoma" w:hAnsi="Tahoma" w:cs="Tahoma"/>
          <w:dstrike/>
          <w:sz w:val="28"/>
          <w:szCs w:val="28"/>
          <w:lang w:val="en-CA"/>
        </w:rPr>
        <w:t>N</w:t>
      </w:r>
      <w:r>
        <w:rPr>
          <w:rFonts w:ascii="Tahoma" w:hAnsi="Tahoma" w:cs="Tahoma"/>
          <w:sz w:val="28"/>
          <w:szCs w:val="28"/>
          <w:lang w:val="en-CA"/>
        </w:rPr>
        <w:t xml:space="preserve">2.137 billion, </w:t>
      </w:r>
      <w:r>
        <w:rPr>
          <w:rFonts w:ascii="Tahoma" w:hAnsi="Tahoma" w:cs="Tahoma"/>
          <w:sz w:val="28"/>
          <w:szCs w:val="28"/>
          <w:lang w:val="en-CA"/>
        </w:rPr>
        <w:lastRenderedPageBreak/>
        <w:t xml:space="preserve">Credit from Development Partners target was </w:t>
      </w:r>
      <w:r w:rsidRPr="00137FE9">
        <w:rPr>
          <w:rFonts w:ascii="Tahoma" w:hAnsi="Tahoma" w:cs="Tahoma"/>
          <w:dstrike/>
          <w:sz w:val="28"/>
          <w:szCs w:val="28"/>
          <w:lang w:val="en-CA"/>
        </w:rPr>
        <w:t>N</w:t>
      </w:r>
      <w:r>
        <w:rPr>
          <w:rFonts w:ascii="Tahoma" w:hAnsi="Tahoma" w:cs="Tahoma"/>
          <w:sz w:val="28"/>
          <w:szCs w:val="28"/>
          <w:lang w:val="en-CA"/>
        </w:rPr>
        <w:t xml:space="preserve">4.082 billion with an actual of </w:t>
      </w:r>
      <w:r w:rsidRPr="00137FE9">
        <w:rPr>
          <w:rFonts w:ascii="Tahoma" w:hAnsi="Tahoma" w:cs="Tahoma"/>
          <w:dstrike/>
          <w:sz w:val="28"/>
          <w:szCs w:val="28"/>
          <w:lang w:val="en-CA"/>
        </w:rPr>
        <w:t>N</w:t>
      </w:r>
      <w:r>
        <w:rPr>
          <w:rFonts w:ascii="Tahoma" w:hAnsi="Tahoma" w:cs="Tahoma"/>
          <w:sz w:val="28"/>
          <w:szCs w:val="28"/>
          <w:lang w:val="en-CA"/>
        </w:rPr>
        <w:t xml:space="preserve">0.478 billion, Grants from Donor Agencies target was </w:t>
      </w:r>
      <w:r w:rsidRPr="00137FE9">
        <w:rPr>
          <w:rFonts w:ascii="Tahoma" w:hAnsi="Tahoma" w:cs="Tahoma"/>
          <w:dstrike/>
          <w:sz w:val="28"/>
          <w:szCs w:val="28"/>
          <w:lang w:val="en-CA"/>
        </w:rPr>
        <w:t>N</w:t>
      </w:r>
      <w:r>
        <w:rPr>
          <w:rFonts w:ascii="Tahoma" w:hAnsi="Tahoma" w:cs="Tahoma"/>
          <w:sz w:val="28"/>
          <w:szCs w:val="28"/>
          <w:lang w:val="en-CA"/>
        </w:rPr>
        <w:t xml:space="preserve">3.413 billion with an actual of </w:t>
      </w:r>
      <w:r w:rsidRPr="00137FE9">
        <w:rPr>
          <w:rFonts w:ascii="Tahoma" w:hAnsi="Tahoma" w:cs="Tahoma"/>
          <w:dstrike/>
          <w:sz w:val="28"/>
          <w:szCs w:val="28"/>
          <w:lang w:val="en-CA"/>
        </w:rPr>
        <w:t>N</w:t>
      </w:r>
      <w:r>
        <w:rPr>
          <w:rFonts w:ascii="Tahoma" w:hAnsi="Tahoma" w:cs="Tahoma"/>
          <w:sz w:val="28"/>
          <w:szCs w:val="28"/>
          <w:lang w:val="en-CA"/>
        </w:rPr>
        <w:t xml:space="preserve">0.003 billion, Short Term Borrowings target was </w:t>
      </w:r>
      <w:r w:rsidRPr="00137FE9">
        <w:rPr>
          <w:rFonts w:ascii="Tahoma" w:hAnsi="Tahoma" w:cs="Tahoma"/>
          <w:dstrike/>
          <w:sz w:val="28"/>
          <w:szCs w:val="28"/>
          <w:lang w:val="en-CA"/>
        </w:rPr>
        <w:t>N</w:t>
      </w:r>
      <w:r>
        <w:rPr>
          <w:rFonts w:ascii="Tahoma" w:hAnsi="Tahoma" w:cs="Tahoma"/>
          <w:sz w:val="28"/>
          <w:szCs w:val="28"/>
          <w:lang w:val="en-CA"/>
        </w:rPr>
        <w:t xml:space="preserve">1.240 billion with an actual of </w:t>
      </w:r>
      <w:r w:rsidRPr="00137FE9">
        <w:rPr>
          <w:rFonts w:ascii="Tahoma" w:hAnsi="Tahoma" w:cs="Tahoma"/>
          <w:dstrike/>
          <w:sz w:val="28"/>
          <w:szCs w:val="28"/>
          <w:lang w:val="en-CA"/>
        </w:rPr>
        <w:t>N</w:t>
      </w:r>
      <w:r>
        <w:rPr>
          <w:rFonts w:ascii="Tahoma" w:hAnsi="Tahoma" w:cs="Tahoma"/>
          <w:sz w:val="28"/>
          <w:szCs w:val="28"/>
          <w:lang w:val="en-CA"/>
        </w:rPr>
        <w:t xml:space="preserve">0.700 billion. Excess Bank Charges had no target but recorded an actual of </w:t>
      </w:r>
      <w:r w:rsidRPr="00137FE9">
        <w:rPr>
          <w:rFonts w:ascii="Tahoma" w:hAnsi="Tahoma" w:cs="Tahoma"/>
          <w:dstrike/>
          <w:sz w:val="28"/>
          <w:szCs w:val="28"/>
          <w:lang w:val="en-CA"/>
        </w:rPr>
        <w:t>N</w:t>
      </w:r>
      <w:r>
        <w:rPr>
          <w:rFonts w:ascii="Tahoma" w:hAnsi="Tahoma" w:cs="Tahoma"/>
          <w:sz w:val="28"/>
          <w:szCs w:val="28"/>
          <w:lang w:val="en-CA"/>
        </w:rPr>
        <w:t>0.053 billion while Bond did not record any inflow for the quarter.</w:t>
      </w:r>
    </w:p>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Default="00DC24F2"/>
    <w:p w:rsidR="00DC24F2" w:rsidRPr="005C72EB" w:rsidRDefault="00DC24F2" w:rsidP="00DC24F2">
      <w:pPr>
        <w:pStyle w:val="NoSpacing"/>
        <w:spacing w:after="240" w:line="276" w:lineRule="auto"/>
        <w:jc w:val="center"/>
        <w:rPr>
          <w:rFonts w:ascii="Tahoma" w:hAnsi="Tahoma" w:cs="Tahoma"/>
          <w:b/>
          <w:sz w:val="28"/>
          <w:szCs w:val="28"/>
        </w:rPr>
      </w:pPr>
      <w:r w:rsidRPr="005C72EB">
        <w:rPr>
          <w:rFonts w:ascii="Tahoma" w:hAnsi="Tahoma" w:cs="Tahoma"/>
          <w:b/>
          <w:sz w:val="28"/>
          <w:szCs w:val="24"/>
        </w:rPr>
        <w:lastRenderedPageBreak/>
        <w:t>CHAPTER THREE</w:t>
      </w:r>
    </w:p>
    <w:p w:rsidR="00DC24F2" w:rsidRDefault="00DC24F2" w:rsidP="00DC24F2">
      <w:pPr>
        <w:pStyle w:val="NoSpacing"/>
        <w:numPr>
          <w:ilvl w:val="1"/>
          <w:numId w:val="2"/>
        </w:numPr>
        <w:spacing w:line="360" w:lineRule="auto"/>
        <w:rPr>
          <w:rFonts w:ascii="Tahoma" w:hAnsi="Tahoma" w:cs="Tahoma"/>
          <w:b/>
          <w:sz w:val="28"/>
          <w:szCs w:val="28"/>
        </w:rPr>
      </w:pPr>
      <w:r w:rsidRPr="005C72EB">
        <w:rPr>
          <w:rFonts w:ascii="Tahoma" w:hAnsi="Tahoma" w:cs="Tahoma"/>
          <w:b/>
          <w:sz w:val="28"/>
          <w:szCs w:val="28"/>
        </w:rPr>
        <w:t>EXPENDITURE PROFILE AND ANALYSIS</w:t>
      </w:r>
    </w:p>
    <w:p w:rsidR="00DC24F2" w:rsidRPr="00747EB0" w:rsidRDefault="00DC24F2" w:rsidP="00DC24F2">
      <w:pPr>
        <w:pStyle w:val="NoSpacing"/>
        <w:spacing w:line="360" w:lineRule="auto"/>
        <w:ind w:left="142" w:hanging="142"/>
        <w:rPr>
          <w:rFonts w:ascii="Tahoma" w:hAnsi="Tahoma" w:cs="Tahoma"/>
          <w:b/>
          <w:sz w:val="28"/>
          <w:szCs w:val="28"/>
        </w:rPr>
      </w:pPr>
      <w:r w:rsidRPr="00747EB0">
        <w:rPr>
          <w:rFonts w:ascii="Tahoma" w:hAnsi="Tahoma" w:cs="Tahoma"/>
          <w:b/>
          <w:sz w:val="28"/>
          <w:szCs w:val="28"/>
        </w:rPr>
        <w:t>3</w:t>
      </w:r>
      <w:r>
        <w:rPr>
          <w:rFonts w:ascii="Tahoma" w:hAnsi="Tahoma" w:cs="Tahoma"/>
          <w:b/>
          <w:sz w:val="28"/>
          <w:szCs w:val="28"/>
        </w:rPr>
        <w:t>.1.1</w:t>
      </w:r>
      <w:r>
        <w:rPr>
          <w:rFonts w:ascii="Tahoma" w:hAnsi="Tahoma" w:cs="Tahoma"/>
          <w:b/>
          <w:sz w:val="28"/>
          <w:szCs w:val="28"/>
        </w:rPr>
        <w:tab/>
        <w:t xml:space="preserve"> 2019 First Quarter Expenditure</w:t>
      </w:r>
      <w:r w:rsidRPr="00747EB0">
        <w:rPr>
          <w:rFonts w:ascii="Tahoma" w:hAnsi="Tahoma" w:cs="Tahoma"/>
          <w:b/>
          <w:sz w:val="28"/>
          <w:szCs w:val="28"/>
        </w:rPr>
        <w:t xml:space="preserve"> </w:t>
      </w:r>
    </w:p>
    <w:p w:rsidR="00DC24F2" w:rsidRPr="00822A8E" w:rsidRDefault="00DC24F2" w:rsidP="00DC24F2">
      <w:pPr>
        <w:pStyle w:val="NoSpacing"/>
        <w:spacing w:line="360" w:lineRule="auto"/>
        <w:jc w:val="both"/>
        <w:rPr>
          <w:rFonts w:ascii="Tahoma" w:hAnsi="Tahoma" w:cs="Tahoma"/>
          <w:sz w:val="28"/>
          <w:szCs w:val="28"/>
        </w:rPr>
      </w:pPr>
      <w:r>
        <w:rPr>
          <w:rFonts w:ascii="Tahoma" w:hAnsi="Tahoma" w:cs="Tahoma"/>
          <w:sz w:val="28"/>
          <w:szCs w:val="28"/>
        </w:rPr>
        <w:t>Table 3.1 shows the details of the first quarter expenditures for the year 2019.</w:t>
      </w:r>
    </w:p>
    <w:p w:rsidR="00DC24F2" w:rsidRDefault="00DC24F2" w:rsidP="00DC24F2">
      <w:pPr>
        <w:pStyle w:val="NoSpacing"/>
        <w:spacing w:line="360" w:lineRule="auto"/>
        <w:rPr>
          <w:rFonts w:ascii="Tahoma" w:hAnsi="Tahoma" w:cs="Tahoma"/>
          <w:b/>
          <w:sz w:val="28"/>
          <w:szCs w:val="28"/>
        </w:rPr>
      </w:pPr>
      <w:r>
        <w:rPr>
          <w:rFonts w:ascii="Tahoma" w:hAnsi="Tahoma" w:cs="Tahoma"/>
          <w:b/>
          <w:sz w:val="28"/>
          <w:szCs w:val="28"/>
        </w:rPr>
        <w:t>Table 3.1: Summary of</w:t>
      </w:r>
      <w:r w:rsidR="003B2831">
        <w:rPr>
          <w:rFonts w:ascii="Tahoma" w:hAnsi="Tahoma" w:cs="Tahoma"/>
          <w:b/>
          <w:sz w:val="28"/>
          <w:szCs w:val="28"/>
        </w:rPr>
        <w:t xml:space="preserve"> 2019 </w:t>
      </w:r>
      <w:r>
        <w:rPr>
          <w:rFonts w:ascii="Tahoma" w:hAnsi="Tahoma" w:cs="Tahoma"/>
          <w:b/>
          <w:sz w:val="28"/>
          <w:szCs w:val="28"/>
        </w:rPr>
        <w:t>First Quarter Expenditures</w:t>
      </w:r>
    </w:p>
    <w:tbl>
      <w:tblPr>
        <w:tblStyle w:val="GridTable5Dark-Accent6"/>
        <w:tblW w:w="9939" w:type="dxa"/>
        <w:tblLook w:val="04A0" w:firstRow="1" w:lastRow="0" w:firstColumn="1" w:lastColumn="0" w:noHBand="0" w:noVBand="1"/>
      </w:tblPr>
      <w:tblGrid>
        <w:gridCol w:w="529"/>
        <w:gridCol w:w="2510"/>
        <w:gridCol w:w="1844"/>
        <w:gridCol w:w="1742"/>
        <w:gridCol w:w="1742"/>
        <w:gridCol w:w="1572"/>
      </w:tblGrid>
      <w:tr w:rsidR="00DC24F2" w:rsidRPr="00FA4BEE" w:rsidTr="00DC24F2">
        <w:trPr>
          <w:cnfStyle w:val="100000000000" w:firstRow="1" w:lastRow="0" w:firstColumn="0" w:lastColumn="0" w:oddVBand="0" w:evenVBand="0" w:oddHBand="0"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bookmarkStart w:id="0" w:name="RANGE!A2:F19"/>
            <w:r w:rsidRPr="00FA4BEE">
              <w:rPr>
                <w:rFonts w:ascii="Calibri" w:eastAsia="Times New Roman" w:hAnsi="Calibri" w:cs="Times New Roman"/>
                <w:color w:val="000000"/>
                <w:sz w:val="20"/>
                <w:szCs w:val="20"/>
                <w:lang w:eastAsia="cy-GB"/>
              </w:rPr>
              <w:t>S/N</w:t>
            </w:r>
            <w:bookmarkEnd w:id="0"/>
          </w:p>
        </w:tc>
        <w:tc>
          <w:tcPr>
            <w:tcW w:w="2510" w:type="dxa"/>
            <w:noWrap/>
            <w:hideMark/>
          </w:tcPr>
          <w:p w:rsidR="00DC24F2" w:rsidRPr="00FA4BEE" w:rsidRDefault="00DC24F2" w:rsidP="00DC24F2">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EXPENDITURE DETAILS</w:t>
            </w:r>
          </w:p>
        </w:tc>
        <w:tc>
          <w:tcPr>
            <w:tcW w:w="1844"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2019</w:t>
            </w:r>
            <w:r w:rsidRPr="00FA4BEE">
              <w:rPr>
                <w:rFonts w:ascii="Calibri" w:eastAsia="Times New Roman" w:hAnsi="Calibri" w:cs="Times New Roman"/>
                <w:color w:val="000000"/>
                <w:sz w:val="20"/>
                <w:szCs w:val="20"/>
                <w:lang w:eastAsia="cy-GB"/>
              </w:rPr>
              <w:t xml:space="preserve"> APPROVED ESTIMATES </w:t>
            </w:r>
          </w:p>
        </w:tc>
        <w:tc>
          <w:tcPr>
            <w:tcW w:w="1742"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FIRST QUARTER ESTIMATES</w:t>
            </w:r>
          </w:p>
        </w:tc>
        <w:tc>
          <w:tcPr>
            <w:tcW w:w="1742"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FIRST QUARTER ACTUAL                </w:t>
            </w:r>
          </w:p>
        </w:tc>
        <w:tc>
          <w:tcPr>
            <w:tcW w:w="1572"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PERFORMANCE LEVEL (%)</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529" w:type="dxa"/>
            <w:noWrap/>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Pr>
                <w:rFonts w:ascii="Calibri" w:eastAsia="Times New Roman" w:hAnsi="Calibri" w:cs="Times New Roman"/>
                <w:sz w:val="20"/>
                <w:szCs w:val="20"/>
                <w:lang w:eastAsia="cy-GB"/>
              </w:rPr>
              <w:t>A</w:t>
            </w:r>
          </w:p>
        </w:tc>
        <w:tc>
          <w:tcPr>
            <w:tcW w:w="2510" w:type="dxa"/>
            <w:noWrap/>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RECURRENT EXPENDITURE</w:t>
            </w:r>
          </w:p>
        </w:tc>
        <w:tc>
          <w:tcPr>
            <w:tcW w:w="1844" w:type="dxa"/>
          </w:tcPr>
          <w:p w:rsidR="00DC24F2"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c>
          <w:tcPr>
            <w:tcW w:w="1742" w:type="dxa"/>
          </w:tcPr>
          <w:p w:rsidR="00DC24F2" w:rsidRPr="00FA4BEE"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c>
          <w:tcPr>
            <w:tcW w:w="1742" w:type="dxa"/>
          </w:tcPr>
          <w:p w:rsidR="00DC24F2" w:rsidRPr="00FA4BEE"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c>
          <w:tcPr>
            <w:tcW w:w="1572" w:type="dxa"/>
          </w:tcPr>
          <w:p w:rsidR="00DC24F2" w:rsidRPr="00FA4BEE"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r>
      <w:tr w:rsidR="00DC24F2" w:rsidRPr="00FA4BEE" w:rsidTr="00DC24F2">
        <w:trPr>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w:t>
            </w:r>
          </w:p>
        </w:tc>
        <w:tc>
          <w:tcPr>
            <w:tcW w:w="2510" w:type="dxa"/>
            <w:noWrap/>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PERSONNEL COST</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36,231,533,708.16 </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9,057,883,427.04</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8,626,169,073.28 </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95.2</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2</w:t>
            </w:r>
          </w:p>
        </w:tc>
        <w:tc>
          <w:tcPr>
            <w:tcW w:w="2510" w:type="dxa"/>
            <w:noWrap/>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OVERHEAD COST</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4,512,700,000.00 </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1,128,175,000.00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744,477,603.00 </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66.0</w:t>
            </w:r>
          </w:p>
        </w:tc>
      </w:tr>
      <w:tr w:rsidR="00DC24F2" w:rsidRPr="00FA4BEE" w:rsidTr="00DC24F2">
        <w:trPr>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3</w:t>
            </w:r>
          </w:p>
        </w:tc>
        <w:tc>
          <w:tcPr>
            <w:tcW w:w="2510" w:type="dxa"/>
            <w:noWrap/>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SPECIAL PROGRAMME </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17,256,976,296.00 </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4,314,244,074.00</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3,018,692,545.89 </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70.0</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4</w:t>
            </w:r>
          </w:p>
        </w:tc>
        <w:tc>
          <w:tcPr>
            <w:tcW w:w="2510" w:type="dxa"/>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GRANTS TO PARASTATALS/SUBVENTION</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7,561,500,000.00 </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1,890,375,000.00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1,449,291,900.00 </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76.7</w:t>
            </w:r>
          </w:p>
        </w:tc>
      </w:tr>
      <w:tr w:rsidR="00DC24F2" w:rsidRPr="00FA4BEE" w:rsidTr="00DC24F2">
        <w:trPr>
          <w:trHeight w:val="626"/>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sz w:val="20"/>
                <w:szCs w:val="20"/>
                <w:lang w:eastAsia="cy-GB"/>
              </w:rPr>
            </w:pPr>
            <w:r>
              <w:rPr>
                <w:rFonts w:ascii="Calibri" w:eastAsia="Times New Roman" w:hAnsi="Calibri" w:cs="Times New Roman"/>
                <w:color w:val="000000"/>
                <w:sz w:val="20"/>
                <w:szCs w:val="20"/>
                <w:lang w:eastAsia="cy-GB"/>
              </w:rPr>
              <w:t>5</w:t>
            </w:r>
          </w:p>
        </w:tc>
        <w:tc>
          <w:tcPr>
            <w:tcW w:w="2510" w:type="dxa"/>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CONSOLIDATED REVENUE FUND CHARGE</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18,159,449,200.00 </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4,539,862,300.00</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3,679,415,545.89 </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81.0</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sz w:val="20"/>
                <w:szCs w:val="20"/>
                <w:lang w:eastAsia="cy-GB"/>
              </w:rPr>
            </w:pPr>
            <w:r>
              <w:rPr>
                <w:rFonts w:ascii="Calibri" w:eastAsia="Times New Roman" w:hAnsi="Calibri" w:cs="Times New Roman"/>
                <w:color w:val="000000"/>
                <w:sz w:val="20"/>
                <w:szCs w:val="20"/>
                <w:lang w:eastAsia="cy-GB"/>
              </w:rPr>
              <w:t>6</w:t>
            </w:r>
          </w:p>
        </w:tc>
        <w:tc>
          <w:tcPr>
            <w:tcW w:w="2510" w:type="dxa"/>
            <w:noWrap/>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GRANTS/LOANS</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130,000,000.00 </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32,500,000.00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18,482,800.00 </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56.9</w:t>
            </w:r>
          </w:p>
        </w:tc>
      </w:tr>
      <w:tr w:rsidR="00DC24F2" w:rsidRPr="00FA4BEE" w:rsidTr="00DC24F2">
        <w:trPr>
          <w:trHeight w:val="626"/>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p>
        </w:tc>
        <w:tc>
          <w:tcPr>
            <w:tcW w:w="2510" w:type="dxa"/>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TOTAL RECURRENT EXPENDITURE</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83,852,159,204.16</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20,963,039,801.04</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17,536,529,468.06</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83.7</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29" w:type="dxa"/>
            <w:noWrap/>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sz w:val="20"/>
                <w:szCs w:val="20"/>
                <w:lang w:eastAsia="cy-GB"/>
              </w:rPr>
              <w:t>B</w:t>
            </w:r>
          </w:p>
        </w:tc>
        <w:tc>
          <w:tcPr>
            <w:tcW w:w="2510" w:type="dxa"/>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DEBT SERVICE/REPAYMENT</w:t>
            </w:r>
          </w:p>
        </w:tc>
        <w:tc>
          <w:tcPr>
            <w:tcW w:w="1844" w:type="dxa"/>
            <w:noWrap/>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c>
          <w:tcPr>
            <w:tcW w:w="1742" w:type="dxa"/>
            <w:noWrap/>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c>
          <w:tcPr>
            <w:tcW w:w="1742" w:type="dxa"/>
            <w:noWrap/>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c>
          <w:tcPr>
            <w:tcW w:w="1572" w:type="dxa"/>
            <w:noWrap/>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p>
        </w:tc>
      </w:tr>
      <w:tr w:rsidR="00DC24F2" w:rsidRPr="00FA4BEE" w:rsidTr="00DC24F2">
        <w:trPr>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r>
              <w:rPr>
                <w:rFonts w:ascii="Calibri" w:eastAsia="Times New Roman" w:hAnsi="Calibri" w:cs="Times New Roman"/>
                <w:color w:val="000000"/>
                <w:sz w:val="20"/>
                <w:szCs w:val="20"/>
                <w:lang w:eastAsia="cy-GB"/>
              </w:rPr>
              <w:t>1</w:t>
            </w:r>
          </w:p>
        </w:tc>
        <w:tc>
          <w:tcPr>
            <w:tcW w:w="2510" w:type="dxa"/>
            <w:noWrap/>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DEBT REPAYMENT (PRINCIPAL)</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10,369,293,247.58</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2,592,323,311.90</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1,909,693,467.75 </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73.7</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sz w:val="20"/>
                <w:szCs w:val="20"/>
                <w:lang w:eastAsia="cy-GB"/>
              </w:rPr>
            </w:pPr>
          </w:p>
        </w:tc>
        <w:tc>
          <w:tcPr>
            <w:tcW w:w="2510" w:type="dxa"/>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TOTAL DEBT SERVICE/ REPAYMENT</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10,369,293,247.58</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2,592,323,311.90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1,909,693,467.75</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73.7</w:t>
            </w:r>
          </w:p>
        </w:tc>
      </w:tr>
      <w:tr w:rsidR="00DC24F2" w:rsidRPr="00FA4BEE" w:rsidTr="00DC24F2">
        <w:trPr>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Pr>
                <w:rFonts w:ascii="Calibri" w:eastAsia="Times New Roman" w:hAnsi="Calibri" w:cs="Times New Roman"/>
                <w:sz w:val="20"/>
                <w:szCs w:val="20"/>
                <w:lang w:eastAsia="cy-GB"/>
              </w:rPr>
              <w:t>C</w:t>
            </w:r>
            <w:r w:rsidRPr="00FA4BEE">
              <w:rPr>
                <w:rFonts w:ascii="Calibri" w:eastAsia="Times New Roman" w:hAnsi="Calibri" w:cs="Times New Roman"/>
                <w:color w:val="000000"/>
                <w:sz w:val="20"/>
                <w:szCs w:val="20"/>
                <w:lang w:eastAsia="cy-GB"/>
              </w:rPr>
              <w:t> </w:t>
            </w:r>
          </w:p>
        </w:tc>
        <w:tc>
          <w:tcPr>
            <w:tcW w:w="2510" w:type="dxa"/>
            <w:noWrap/>
            <w:hideMark/>
          </w:tcPr>
          <w:p w:rsidR="00DC24F2" w:rsidRPr="00FC018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20"/>
                <w:szCs w:val="20"/>
                <w:lang w:eastAsia="cy-GB"/>
              </w:rPr>
            </w:pPr>
            <w:r w:rsidRPr="00FC0184">
              <w:rPr>
                <w:rFonts w:ascii="Calibri" w:eastAsia="Times New Roman" w:hAnsi="Calibri" w:cs="Times New Roman"/>
                <w:b/>
                <w:color w:val="000000"/>
                <w:sz w:val="20"/>
                <w:szCs w:val="20"/>
                <w:lang w:eastAsia="cy-GB"/>
              </w:rPr>
              <w:t>STATUTORY TRANSFERS</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 </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w:t>
            </w:r>
          </w:p>
        </w:tc>
        <w:tc>
          <w:tcPr>
            <w:tcW w:w="2510" w:type="dxa"/>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TRANSFER TO LOCAL GOVERNMENT JOINT ACCOUNT (10%)</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2,500,000,000.00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625,000,000.00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52,963,150.00 </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8.5</w:t>
            </w:r>
          </w:p>
        </w:tc>
      </w:tr>
      <w:tr w:rsidR="00DC24F2" w:rsidRPr="00FA4BEE" w:rsidTr="00DC24F2">
        <w:trPr>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2</w:t>
            </w:r>
          </w:p>
        </w:tc>
        <w:tc>
          <w:tcPr>
            <w:tcW w:w="2510" w:type="dxa"/>
            <w:noWrap/>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TRANSFER TO OSOPADEC</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7,068,537,435.40</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1,767,134,358.85</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877,018,556.94 </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49.6</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sz w:val="20"/>
                <w:szCs w:val="20"/>
                <w:lang w:eastAsia="cy-GB"/>
              </w:rPr>
            </w:pPr>
          </w:p>
        </w:tc>
        <w:tc>
          <w:tcPr>
            <w:tcW w:w="2510" w:type="dxa"/>
            <w:noWrap/>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TOTAL STATUTORY TRANSFER</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9,568,537,435.40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2,392,134,358.85</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929,981,706.94</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38.9</w:t>
            </w:r>
          </w:p>
        </w:tc>
      </w:tr>
      <w:tr w:rsidR="00DC24F2" w:rsidRPr="00FA4BEE" w:rsidTr="00DC24F2">
        <w:trPr>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Pr>
                <w:rFonts w:ascii="Calibri" w:eastAsia="Times New Roman" w:hAnsi="Calibri" w:cs="Times New Roman"/>
                <w:sz w:val="20"/>
                <w:szCs w:val="20"/>
                <w:lang w:eastAsia="cy-GB"/>
              </w:rPr>
              <w:t>D</w:t>
            </w:r>
            <w:r w:rsidRPr="00FA4BEE">
              <w:rPr>
                <w:rFonts w:ascii="Calibri" w:eastAsia="Times New Roman" w:hAnsi="Calibri" w:cs="Times New Roman"/>
                <w:color w:val="000000"/>
                <w:sz w:val="20"/>
                <w:szCs w:val="20"/>
                <w:lang w:eastAsia="cy-GB"/>
              </w:rPr>
              <w:t> </w:t>
            </w:r>
          </w:p>
        </w:tc>
        <w:tc>
          <w:tcPr>
            <w:tcW w:w="2510" w:type="dxa"/>
            <w:noWrap/>
            <w:hideMark/>
          </w:tcPr>
          <w:p w:rsidR="00DC24F2" w:rsidRPr="00FC018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20"/>
                <w:szCs w:val="20"/>
                <w:lang w:eastAsia="cy-GB"/>
              </w:rPr>
            </w:pPr>
            <w:r w:rsidRPr="00FC0184">
              <w:rPr>
                <w:rFonts w:ascii="Calibri" w:eastAsia="Times New Roman" w:hAnsi="Calibri" w:cs="Times New Roman"/>
                <w:b/>
                <w:color w:val="000000"/>
                <w:sz w:val="20"/>
                <w:szCs w:val="20"/>
                <w:lang w:eastAsia="cy-GB"/>
              </w:rPr>
              <w:t>CAPITAL EXPENDITURE</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w:t>
            </w:r>
          </w:p>
        </w:tc>
        <w:tc>
          <w:tcPr>
            <w:tcW w:w="2510" w:type="dxa"/>
            <w:noWrap/>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MEDAs/INSTITUTIONS</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90,112,909,112.86 </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22,528,227,278.22</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3,320,088,675.77 </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14.7</w:t>
            </w:r>
          </w:p>
        </w:tc>
      </w:tr>
      <w:tr w:rsidR="00DC24F2" w:rsidRPr="00FA4BEE" w:rsidTr="00DC24F2">
        <w:trPr>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p>
        </w:tc>
        <w:tc>
          <w:tcPr>
            <w:tcW w:w="2510" w:type="dxa"/>
            <w:noWrap/>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TOTAL CAPITAL EXPENDITURE</w:t>
            </w:r>
          </w:p>
        </w:tc>
        <w:tc>
          <w:tcPr>
            <w:tcW w:w="184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90,112,909,112.86</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22,528,227,278.22</w:t>
            </w:r>
          </w:p>
        </w:tc>
        <w:tc>
          <w:tcPr>
            <w:tcW w:w="174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3,320,088,675.77</w:t>
            </w:r>
          </w:p>
        </w:tc>
        <w:tc>
          <w:tcPr>
            <w:tcW w:w="1572"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14.7</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29"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w:t>
            </w:r>
          </w:p>
        </w:tc>
        <w:tc>
          <w:tcPr>
            <w:tcW w:w="2510" w:type="dxa"/>
            <w:noWrap/>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GRAND TOTAL (A+B+C+D)</w:t>
            </w:r>
          </w:p>
        </w:tc>
        <w:tc>
          <w:tcPr>
            <w:tcW w:w="184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193,902,899,000.00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48,475,724,750.00</w:t>
            </w:r>
          </w:p>
        </w:tc>
        <w:tc>
          <w:tcPr>
            <w:tcW w:w="174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23,696,293,318.52</w:t>
            </w:r>
          </w:p>
        </w:tc>
        <w:tc>
          <w:tcPr>
            <w:tcW w:w="1572"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48.9</w:t>
            </w:r>
          </w:p>
        </w:tc>
      </w:tr>
    </w:tbl>
    <w:p w:rsidR="00DC24F2" w:rsidRPr="00FC0184" w:rsidRDefault="00DC24F2" w:rsidP="00DC24F2">
      <w:pPr>
        <w:pStyle w:val="NoSpacing"/>
        <w:spacing w:after="240"/>
        <w:jc w:val="both"/>
        <w:rPr>
          <w:rFonts w:ascii="Tahoma" w:hAnsi="Tahoma" w:cs="Tahoma"/>
          <w:i/>
          <w:sz w:val="24"/>
          <w:szCs w:val="24"/>
        </w:rPr>
      </w:pPr>
      <w:r w:rsidRPr="00721306">
        <w:rPr>
          <w:rFonts w:ascii="Tahoma" w:hAnsi="Tahoma" w:cs="Tahoma"/>
          <w:b/>
          <w:sz w:val="24"/>
          <w:szCs w:val="24"/>
        </w:rPr>
        <w:t xml:space="preserve"> Source:</w:t>
      </w:r>
      <w:r w:rsidRPr="0002217C">
        <w:rPr>
          <w:rFonts w:ascii="Tahoma" w:hAnsi="Tahoma" w:cs="Tahoma"/>
          <w:i/>
          <w:sz w:val="24"/>
          <w:szCs w:val="24"/>
        </w:rPr>
        <w:t xml:space="preserve"> </w:t>
      </w:r>
      <w:r w:rsidRPr="003D1857">
        <w:rPr>
          <w:rFonts w:ascii="Tahoma" w:hAnsi="Tahoma" w:cs="Tahoma"/>
          <w:i/>
          <w:szCs w:val="24"/>
        </w:rPr>
        <w:t xml:space="preserve">Office of Accountant General and other MEDAs, Ondo State </w:t>
      </w:r>
      <w:r w:rsidRPr="0002217C">
        <w:rPr>
          <w:rFonts w:ascii="Tahoma" w:hAnsi="Tahoma" w:cs="Tahoma"/>
          <w:i/>
          <w:sz w:val="24"/>
          <w:szCs w:val="24"/>
        </w:rPr>
        <w:t xml:space="preserve">                  </w:t>
      </w:r>
    </w:p>
    <w:p w:rsidR="00DC24F2" w:rsidRDefault="00DC24F2" w:rsidP="00D572D0">
      <w:pPr>
        <w:spacing w:after="0" w:line="360" w:lineRule="auto"/>
        <w:ind w:left="1701" w:hanging="1701"/>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3</w:t>
      </w:r>
      <w:r w:rsidRPr="00931C11">
        <w:rPr>
          <w:rFonts w:ascii="Tahoma" w:hAnsi="Tahoma" w:cs="Tahoma"/>
          <w:b/>
          <w:sz w:val="28"/>
          <w:szCs w:val="28"/>
        </w:rPr>
        <w:t>.1</w:t>
      </w:r>
      <w:r>
        <w:rPr>
          <w:rFonts w:ascii="Tahoma" w:hAnsi="Tahoma" w:cs="Tahoma"/>
          <w:b/>
          <w:sz w:val="28"/>
          <w:szCs w:val="28"/>
        </w:rPr>
        <w:t>: Bar Chart S</w:t>
      </w:r>
      <w:r w:rsidRPr="00931C11">
        <w:rPr>
          <w:rFonts w:ascii="Tahoma" w:hAnsi="Tahoma" w:cs="Tahoma"/>
          <w:b/>
          <w:sz w:val="28"/>
          <w:szCs w:val="28"/>
        </w:rPr>
        <w:t xml:space="preserve">howing </w:t>
      </w:r>
      <w:r>
        <w:rPr>
          <w:rFonts w:ascii="Tahoma" w:hAnsi="Tahoma" w:cs="Tahoma"/>
          <w:b/>
          <w:sz w:val="28"/>
          <w:szCs w:val="28"/>
        </w:rPr>
        <w:t xml:space="preserve">First Quarter Total Expenditure Performance </w:t>
      </w:r>
    </w:p>
    <w:p w:rsidR="00DC24F2" w:rsidRPr="00C769E5" w:rsidRDefault="00DC24F2" w:rsidP="00DC24F2">
      <w:pPr>
        <w:pStyle w:val="NoSpacing"/>
        <w:tabs>
          <w:tab w:val="left" w:pos="1134"/>
        </w:tabs>
        <w:spacing w:line="360" w:lineRule="auto"/>
        <w:rPr>
          <w:rFonts w:ascii="Tahoma" w:hAnsi="Tahoma" w:cs="Tahoma"/>
          <w:b/>
          <w:color w:val="F4B083" w:themeColor="accent2" w:themeTint="99"/>
          <w:sz w:val="28"/>
          <w:szCs w:val="28"/>
          <w14:textOutline w14:w="9525" w14:cap="rnd" w14:cmpd="sng" w14:algn="ctr">
            <w14:solidFill>
              <w14:schemeClr w14:val="accent1"/>
            </w14:solidFill>
            <w14:prstDash w14:val="solid"/>
            <w14:bevel/>
          </w14:textOutline>
        </w:rPr>
      </w:pPr>
      <w:r>
        <w:rPr>
          <w:noProof/>
          <w:lang w:val="cy-GB" w:eastAsia="cy-GB"/>
        </w:rPr>
        <w:drawing>
          <wp:inline distT="0" distB="0" distL="0" distR="0" wp14:anchorId="08ACA703" wp14:editId="628FE319">
            <wp:extent cx="5724525" cy="53625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C24F2" w:rsidRDefault="00DC24F2" w:rsidP="00DC24F2">
      <w:pPr>
        <w:spacing w:line="480" w:lineRule="auto"/>
        <w:ind w:firstLine="720"/>
        <w:jc w:val="both"/>
        <w:rPr>
          <w:rFonts w:ascii="Tahoma" w:hAnsi="Tahoma" w:cs="Tahoma"/>
          <w:sz w:val="28"/>
          <w:szCs w:val="28"/>
        </w:rPr>
      </w:pPr>
      <w:r>
        <w:rPr>
          <w:rFonts w:ascii="Tahoma" w:hAnsi="Tahoma" w:cs="Tahoma"/>
          <w:sz w:val="28"/>
          <w:szCs w:val="28"/>
        </w:rPr>
        <w:t>Figure 3.1 compares the total actual expenditure</w:t>
      </w:r>
      <w:r w:rsidRPr="00721306">
        <w:rPr>
          <w:rFonts w:ascii="Tahoma" w:hAnsi="Tahoma" w:cs="Tahoma"/>
          <w:sz w:val="28"/>
          <w:szCs w:val="28"/>
        </w:rPr>
        <w:t xml:space="preserve"> for the</w:t>
      </w:r>
      <w:r>
        <w:rPr>
          <w:rFonts w:ascii="Tahoma" w:hAnsi="Tahoma" w:cs="Tahoma"/>
          <w:sz w:val="28"/>
          <w:szCs w:val="28"/>
        </w:rPr>
        <w:t xml:space="preserve"> first quarter of year 2019 with the quarter estimates. T</w:t>
      </w:r>
      <w:r w:rsidRPr="00721306">
        <w:rPr>
          <w:rFonts w:ascii="Tahoma" w:hAnsi="Tahoma" w:cs="Tahoma"/>
          <w:sz w:val="28"/>
          <w:szCs w:val="28"/>
        </w:rPr>
        <w:t>he total</w:t>
      </w:r>
      <w:r>
        <w:rPr>
          <w:rFonts w:ascii="Tahoma" w:hAnsi="Tahoma" w:cs="Tahoma"/>
          <w:sz w:val="28"/>
          <w:szCs w:val="28"/>
        </w:rPr>
        <w:t xml:space="preserve"> actual</w:t>
      </w:r>
      <w:r w:rsidRPr="00721306">
        <w:rPr>
          <w:rFonts w:ascii="Tahoma" w:hAnsi="Tahoma" w:cs="Tahoma"/>
          <w:sz w:val="28"/>
          <w:szCs w:val="28"/>
        </w:rPr>
        <w:t xml:space="preserve"> expendi</w:t>
      </w:r>
      <w:r>
        <w:rPr>
          <w:rFonts w:ascii="Tahoma" w:hAnsi="Tahoma" w:cs="Tahoma"/>
          <w:sz w:val="28"/>
          <w:szCs w:val="28"/>
        </w:rPr>
        <w:t xml:space="preserve">ture for the first quarter was </w:t>
      </w:r>
      <w:r w:rsidRPr="00DF613C">
        <w:rPr>
          <w:rFonts w:ascii="Tahoma" w:hAnsi="Tahoma" w:cs="Tahoma"/>
          <w:dstrike/>
          <w:sz w:val="28"/>
          <w:szCs w:val="28"/>
        </w:rPr>
        <w:t>N</w:t>
      </w:r>
      <w:r>
        <w:rPr>
          <w:rFonts w:ascii="Tahoma" w:hAnsi="Tahoma" w:cs="Tahoma"/>
          <w:sz w:val="28"/>
          <w:szCs w:val="28"/>
        </w:rPr>
        <w:t xml:space="preserve">23.696 billion against the proposed estimates of </w:t>
      </w:r>
      <w:r w:rsidRPr="00DF613C">
        <w:rPr>
          <w:rFonts w:ascii="Tahoma" w:hAnsi="Tahoma" w:cs="Tahoma"/>
          <w:dstrike/>
          <w:sz w:val="28"/>
          <w:szCs w:val="28"/>
        </w:rPr>
        <w:t>N</w:t>
      </w:r>
      <w:r>
        <w:rPr>
          <w:rFonts w:ascii="Tahoma" w:hAnsi="Tahoma" w:cs="Tahoma"/>
          <w:sz w:val="28"/>
          <w:szCs w:val="28"/>
        </w:rPr>
        <w:t>48.478 billion. This represents a 48.9</w:t>
      </w:r>
      <w:r w:rsidRPr="00721306">
        <w:rPr>
          <w:rFonts w:ascii="Tahoma" w:hAnsi="Tahoma" w:cs="Tahoma"/>
          <w:sz w:val="28"/>
          <w:szCs w:val="28"/>
        </w:rPr>
        <w:t xml:space="preserve">% </w:t>
      </w:r>
      <w:r>
        <w:rPr>
          <w:rFonts w:ascii="Tahoma" w:hAnsi="Tahoma" w:cs="Tahoma"/>
          <w:sz w:val="28"/>
          <w:szCs w:val="28"/>
        </w:rPr>
        <w:t xml:space="preserve">overall </w:t>
      </w:r>
      <w:r w:rsidRPr="00721306">
        <w:rPr>
          <w:rFonts w:ascii="Tahoma" w:hAnsi="Tahoma" w:cs="Tahoma"/>
          <w:sz w:val="28"/>
          <w:szCs w:val="28"/>
        </w:rPr>
        <w:t>performance level for the quarter</w:t>
      </w:r>
      <w:r>
        <w:rPr>
          <w:rFonts w:ascii="Tahoma" w:hAnsi="Tahoma" w:cs="Tahoma"/>
          <w:sz w:val="28"/>
          <w:szCs w:val="28"/>
        </w:rPr>
        <w:t xml:space="preserve"> while the corresponding 2018 first quarter actual of </w:t>
      </w:r>
      <w:r w:rsidRPr="00DF613C">
        <w:rPr>
          <w:rFonts w:ascii="Tahoma" w:hAnsi="Tahoma" w:cs="Tahoma"/>
          <w:dstrike/>
          <w:sz w:val="28"/>
          <w:szCs w:val="28"/>
        </w:rPr>
        <w:t>N</w:t>
      </w:r>
      <w:r>
        <w:rPr>
          <w:rFonts w:ascii="Tahoma" w:hAnsi="Tahoma" w:cs="Tahoma"/>
          <w:sz w:val="28"/>
          <w:szCs w:val="28"/>
        </w:rPr>
        <w:t xml:space="preserve">21.548 billion recorded an overall performance of 47.5%. </w:t>
      </w:r>
    </w:p>
    <w:p w:rsidR="00DC24F2" w:rsidRDefault="00DC24F2" w:rsidP="00B0342B">
      <w:pPr>
        <w:spacing w:line="360" w:lineRule="auto"/>
        <w:ind w:left="1701" w:hanging="1701"/>
        <w:jc w:val="both"/>
        <w:rPr>
          <w:rFonts w:ascii="Tahoma" w:hAnsi="Tahoma" w:cs="Tahoma"/>
          <w:b/>
          <w:sz w:val="28"/>
          <w:szCs w:val="28"/>
        </w:rPr>
      </w:pPr>
      <w:r>
        <w:rPr>
          <w:rFonts w:ascii="Tahoma" w:hAnsi="Tahoma" w:cs="Tahoma"/>
          <w:b/>
          <w:sz w:val="28"/>
          <w:szCs w:val="28"/>
        </w:rPr>
        <w:lastRenderedPageBreak/>
        <w:t>Figure 3.2</w:t>
      </w:r>
      <w:r w:rsidRPr="00240E83">
        <w:rPr>
          <w:rFonts w:ascii="Tahoma" w:hAnsi="Tahoma" w:cs="Tahoma"/>
          <w:b/>
          <w:sz w:val="28"/>
          <w:szCs w:val="28"/>
        </w:rPr>
        <w:t>: Bar Chart</w:t>
      </w:r>
      <w:r>
        <w:rPr>
          <w:rFonts w:ascii="Tahoma" w:hAnsi="Tahoma" w:cs="Tahoma"/>
          <w:b/>
          <w:sz w:val="28"/>
          <w:szCs w:val="28"/>
        </w:rPr>
        <w:t xml:space="preserve"> Showing First Quarter</w:t>
      </w:r>
      <w:r w:rsidRPr="00240E83">
        <w:rPr>
          <w:rFonts w:ascii="Tahoma" w:hAnsi="Tahoma" w:cs="Tahoma"/>
          <w:b/>
          <w:sz w:val="28"/>
          <w:szCs w:val="28"/>
        </w:rPr>
        <w:t xml:space="preserve"> </w:t>
      </w:r>
      <w:r>
        <w:rPr>
          <w:rFonts w:ascii="Tahoma" w:hAnsi="Tahoma" w:cs="Tahoma"/>
          <w:b/>
          <w:sz w:val="28"/>
          <w:szCs w:val="28"/>
        </w:rPr>
        <w:t>Performance of Expenditure Classifications</w:t>
      </w:r>
    </w:p>
    <w:p w:rsidR="00DC24F2" w:rsidRDefault="00DC24F2" w:rsidP="00DC24F2">
      <w:pPr>
        <w:pStyle w:val="NoSpacing"/>
        <w:spacing w:line="360" w:lineRule="auto"/>
        <w:rPr>
          <w:rFonts w:ascii="Tahoma" w:hAnsi="Tahoma" w:cs="Tahoma"/>
          <w:b/>
          <w:sz w:val="28"/>
          <w:szCs w:val="28"/>
        </w:rPr>
      </w:pPr>
      <w:r>
        <w:rPr>
          <w:noProof/>
          <w:lang w:val="cy-GB" w:eastAsia="cy-GB"/>
        </w:rPr>
        <w:drawing>
          <wp:inline distT="0" distB="0" distL="0" distR="0" wp14:anchorId="45081B16" wp14:editId="6303EF23">
            <wp:extent cx="5724525" cy="404812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C24F2" w:rsidRDefault="00DC24F2" w:rsidP="00DC24F2">
      <w:pPr>
        <w:spacing w:line="480" w:lineRule="auto"/>
        <w:ind w:firstLine="720"/>
        <w:jc w:val="both"/>
        <w:rPr>
          <w:rFonts w:ascii="Tahoma" w:hAnsi="Tahoma" w:cs="Tahoma"/>
          <w:sz w:val="28"/>
          <w:szCs w:val="28"/>
        </w:rPr>
      </w:pPr>
      <w:r>
        <w:rPr>
          <w:rFonts w:ascii="Tahoma" w:hAnsi="Tahoma" w:cs="Tahoma"/>
          <w:sz w:val="28"/>
          <w:szCs w:val="28"/>
        </w:rPr>
        <w:tab/>
        <w:t xml:space="preserve">Figure 3.2 shows the </w:t>
      </w:r>
      <w:r w:rsidRPr="00721306">
        <w:rPr>
          <w:rFonts w:ascii="Tahoma" w:hAnsi="Tahoma" w:cs="Tahoma"/>
          <w:sz w:val="28"/>
          <w:szCs w:val="28"/>
        </w:rPr>
        <w:t xml:space="preserve">performance </w:t>
      </w:r>
      <w:r>
        <w:rPr>
          <w:rFonts w:ascii="Tahoma" w:hAnsi="Tahoma" w:cs="Tahoma"/>
          <w:sz w:val="28"/>
          <w:szCs w:val="28"/>
        </w:rPr>
        <w:t xml:space="preserve">of the expenditure classifications for the first </w:t>
      </w:r>
      <w:r w:rsidRPr="00721306">
        <w:rPr>
          <w:rFonts w:ascii="Tahoma" w:hAnsi="Tahoma" w:cs="Tahoma"/>
          <w:sz w:val="28"/>
          <w:szCs w:val="28"/>
        </w:rPr>
        <w:t>quarter</w:t>
      </w:r>
      <w:r>
        <w:rPr>
          <w:rFonts w:ascii="Tahoma" w:hAnsi="Tahoma" w:cs="Tahoma"/>
          <w:sz w:val="28"/>
          <w:szCs w:val="28"/>
        </w:rPr>
        <w:t xml:space="preserve"> of the year 2019 against the quarter estimates</w:t>
      </w:r>
      <w:r w:rsidRPr="00721306">
        <w:rPr>
          <w:rFonts w:ascii="Tahoma" w:hAnsi="Tahoma" w:cs="Tahoma"/>
          <w:sz w:val="28"/>
          <w:szCs w:val="28"/>
        </w:rPr>
        <w:t>. The actual expenditure</w:t>
      </w:r>
      <w:r>
        <w:rPr>
          <w:rFonts w:ascii="Tahoma" w:hAnsi="Tahoma" w:cs="Tahoma"/>
          <w:sz w:val="28"/>
          <w:szCs w:val="28"/>
        </w:rPr>
        <w:t xml:space="preserve">s for the first </w:t>
      </w:r>
      <w:r w:rsidRPr="00721306">
        <w:rPr>
          <w:rFonts w:ascii="Tahoma" w:hAnsi="Tahoma" w:cs="Tahoma"/>
          <w:sz w:val="28"/>
          <w:szCs w:val="28"/>
        </w:rPr>
        <w:t>quarter were c</w:t>
      </w:r>
      <w:r>
        <w:rPr>
          <w:rFonts w:ascii="Tahoma" w:hAnsi="Tahoma" w:cs="Tahoma"/>
          <w:sz w:val="28"/>
          <w:szCs w:val="28"/>
        </w:rPr>
        <w:t xml:space="preserve">ompared with the proposed </w:t>
      </w:r>
      <w:r w:rsidRPr="00721306">
        <w:rPr>
          <w:rFonts w:ascii="Tahoma" w:hAnsi="Tahoma" w:cs="Tahoma"/>
          <w:sz w:val="28"/>
          <w:szCs w:val="28"/>
        </w:rPr>
        <w:t>quarter</w:t>
      </w:r>
      <w:r>
        <w:rPr>
          <w:rFonts w:ascii="Tahoma" w:hAnsi="Tahoma" w:cs="Tahoma"/>
          <w:sz w:val="28"/>
          <w:szCs w:val="28"/>
        </w:rPr>
        <w:t xml:space="preserve"> estimates</w:t>
      </w:r>
      <w:r w:rsidRPr="00721306">
        <w:rPr>
          <w:rFonts w:ascii="Tahoma" w:hAnsi="Tahoma" w:cs="Tahoma"/>
          <w:sz w:val="28"/>
          <w:szCs w:val="28"/>
        </w:rPr>
        <w:t xml:space="preserve">.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actual </w:t>
      </w:r>
      <w:r w:rsidRPr="00721306">
        <w:rPr>
          <w:rFonts w:ascii="Tahoma" w:hAnsi="Tahoma" w:cs="Tahoma"/>
          <w:sz w:val="28"/>
          <w:szCs w:val="28"/>
        </w:rPr>
        <w:t>recurrent expenditure f</w:t>
      </w:r>
      <w:r>
        <w:rPr>
          <w:rFonts w:ascii="Tahoma" w:hAnsi="Tahoma" w:cs="Tahoma"/>
          <w:sz w:val="28"/>
          <w:szCs w:val="28"/>
        </w:rPr>
        <w:t xml:space="preserve">or the first quarter was </w:t>
      </w:r>
      <w:r w:rsidRPr="00DF613C">
        <w:rPr>
          <w:rFonts w:ascii="Tahoma" w:hAnsi="Tahoma" w:cs="Tahoma"/>
          <w:dstrike/>
          <w:sz w:val="28"/>
          <w:szCs w:val="28"/>
        </w:rPr>
        <w:t>N</w:t>
      </w:r>
      <w:r>
        <w:rPr>
          <w:rFonts w:ascii="Tahoma" w:hAnsi="Tahoma" w:cs="Tahoma"/>
          <w:sz w:val="28"/>
          <w:szCs w:val="28"/>
        </w:rPr>
        <w:t>17.537</w:t>
      </w:r>
      <w:r w:rsidRPr="00721306">
        <w:rPr>
          <w:rFonts w:ascii="Tahoma" w:hAnsi="Tahoma" w:cs="Tahoma"/>
          <w:sz w:val="28"/>
          <w:szCs w:val="28"/>
        </w:rPr>
        <w:t xml:space="preserve"> billion against the proposed </w:t>
      </w:r>
      <w:r>
        <w:rPr>
          <w:rFonts w:ascii="Tahoma" w:hAnsi="Tahoma" w:cs="Tahoma"/>
          <w:sz w:val="28"/>
          <w:szCs w:val="28"/>
        </w:rPr>
        <w:t xml:space="preserve">estimates of </w:t>
      </w:r>
      <w:r w:rsidRPr="00DF613C">
        <w:rPr>
          <w:rFonts w:ascii="Tahoma" w:hAnsi="Tahoma" w:cs="Tahoma"/>
          <w:dstrike/>
          <w:sz w:val="28"/>
          <w:szCs w:val="28"/>
        </w:rPr>
        <w:t>N</w:t>
      </w:r>
      <w:r>
        <w:rPr>
          <w:rFonts w:ascii="Tahoma" w:hAnsi="Tahoma" w:cs="Tahoma"/>
          <w:sz w:val="28"/>
          <w:szCs w:val="28"/>
        </w:rPr>
        <w:t>20.963 billion, representing 83.7</w:t>
      </w:r>
      <w:r w:rsidRPr="00721306">
        <w:rPr>
          <w:rFonts w:ascii="Tahoma" w:hAnsi="Tahoma" w:cs="Tahoma"/>
          <w:sz w:val="28"/>
          <w:szCs w:val="28"/>
        </w:rPr>
        <w:t>% performance l</w:t>
      </w:r>
      <w:r>
        <w:rPr>
          <w:rFonts w:ascii="Tahoma" w:hAnsi="Tahoma" w:cs="Tahoma"/>
          <w:sz w:val="28"/>
          <w:szCs w:val="28"/>
        </w:rPr>
        <w:t xml:space="preserve">evel for the quarter while the corresponding 2018 first quarter actual of </w:t>
      </w:r>
      <w:r w:rsidRPr="00DF613C">
        <w:rPr>
          <w:rFonts w:ascii="Tahoma" w:hAnsi="Tahoma" w:cs="Tahoma"/>
          <w:dstrike/>
          <w:sz w:val="28"/>
          <w:szCs w:val="28"/>
        </w:rPr>
        <w:t>N</w:t>
      </w:r>
      <w:r>
        <w:rPr>
          <w:rFonts w:ascii="Tahoma" w:hAnsi="Tahoma" w:cs="Tahoma"/>
          <w:sz w:val="28"/>
          <w:szCs w:val="28"/>
        </w:rPr>
        <w:t xml:space="preserve">15.446 billion recorded a performance of 69.7%. </w:t>
      </w:r>
    </w:p>
    <w:p w:rsidR="00DC24F2" w:rsidRDefault="00DC24F2" w:rsidP="00DC24F2">
      <w:pPr>
        <w:spacing w:line="480" w:lineRule="auto"/>
        <w:ind w:firstLine="720"/>
        <w:jc w:val="both"/>
        <w:rPr>
          <w:rFonts w:ascii="Tahoma" w:hAnsi="Tahoma" w:cs="Tahoma"/>
          <w:sz w:val="28"/>
          <w:szCs w:val="28"/>
        </w:rPr>
      </w:pPr>
      <w:r>
        <w:rPr>
          <w:rFonts w:ascii="Tahoma" w:hAnsi="Tahoma" w:cs="Tahoma"/>
          <w:sz w:val="28"/>
          <w:szCs w:val="28"/>
        </w:rPr>
        <w:t xml:space="preserve">The first quarter estimates for debt repayment stood at </w:t>
      </w:r>
      <w:r w:rsidRPr="00DF613C">
        <w:rPr>
          <w:rFonts w:ascii="Tahoma" w:hAnsi="Tahoma" w:cs="Tahoma"/>
          <w:dstrike/>
          <w:sz w:val="28"/>
          <w:szCs w:val="28"/>
        </w:rPr>
        <w:t>N</w:t>
      </w:r>
      <w:r>
        <w:rPr>
          <w:rFonts w:ascii="Tahoma" w:hAnsi="Tahoma" w:cs="Tahoma"/>
          <w:sz w:val="28"/>
          <w:szCs w:val="28"/>
        </w:rPr>
        <w:t>2.592</w:t>
      </w:r>
      <w:r w:rsidRPr="00721306">
        <w:rPr>
          <w:rFonts w:ascii="Tahoma" w:hAnsi="Tahoma" w:cs="Tahoma"/>
          <w:sz w:val="28"/>
          <w:szCs w:val="28"/>
        </w:rPr>
        <w:t xml:space="preserve"> billion. At the end of the quarter, actual debt repayment figure furnished </w:t>
      </w:r>
      <w:r w:rsidRPr="00721306">
        <w:rPr>
          <w:rFonts w:ascii="Tahoma" w:hAnsi="Tahoma" w:cs="Tahoma"/>
          <w:sz w:val="28"/>
          <w:szCs w:val="28"/>
        </w:rPr>
        <w:lastRenderedPageBreak/>
        <w:t>by t</w:t>
      </w:r>
      <w:r>
        <w:rPr>
          <w:rFonts w:ascii="Tahoma" w:hAnsi="Tahoma" w:cs="Tahoma"/>
          <w:sz w:val="28"/>
          <w:szCs w:val="28"/>
        </w:rPr>
        <w:t xml:space="preserve">he Debt Management Office was </w:t>
      </w:r>
      <w:r w:rsidRPr="00DF613C">
        <w:rPr>
          <w:rFonts w:ascii="Tahoma" w:hAnsi="Tahoma" w:cs="Tahoma"/>
          <w:dstrike/>
          <w:sz w:val="28"/>
          <w:szCs w:val="28"/>
        </w:rPr>
        <w:t>N</w:t>
      </w:r>
      <w:r>
        <w:rPr>
          <w:rFonts w:ascii="Tahoma" w:hAnsi="Tahoma" w:cs="Tahoma"/>
          <w:sz w:val="28"/>
          <w:szCs w:val="28"/>
        </w:rPr>
        <w:t>1.910 billion, showing a 73.7</w:t>
      </w:r>
      <w:r w:rsidRPr="00721306">
        <w:rPr>
          <w:rFonts w:ascii="Tahoma" w:hAnsi="Tahoma" w:cs="Tahoma"/>
          <w:sz w:val="28"/>
          <w:szCs w:val="28"/>
        </w:rPr>
        <w:t>% performance level for the quarter</w:t>
      </w:r>
      <w:r>
        <w:rPr>
          <w:rFonts w:ascii="Tahoma" w:hAnsi="Tahoma" w:cs="Tahoma"/>
          <w:sz w:val="28"/>
          <w:szCs w:val="28"/>
        </w:rPr>
        <w:t xml:space="preserve"> while the corresponding 2018 first quarter actual of </w:t>
      </w:r>
      <w:r w:rsidRPr="00DF613C">
        <w:rPr>
          <w:rFonts w:ascii="Tahoma" w:hAnsi="Tahoma" w:cs="Tahoma"/>
          <w:dstrike/>
          <w:sz w:val="28"/>
          <w:szCs w:val="28"/>
        </w:rPr>
        <w:t>N</w:t>
      </w:r>
      <w:r>
        <w:rPr>
          <w:rFonts w:ascii="Tahoma" w:hAnsi="Tahoma" w:cs="Tahoma"/>
          <w:sz w:val="28"/>
          <w:szCs w:val="28"/>
        </w:rPr>
        <w:t xml:space="preserve">2.581 billion recorded a performance of 75.9%. </w:t>
      </w:r>
    </w:p>
    <w:p w:rsidR="00DC24F2" w:rsidRDefault="00DC24F2" w:rsidP="00DC24F2">
      <w:pPr>
        <w:spacing w:line="480" w:lineRule="auto"/>
        <w:ind w:firstLine="720"/>
        <w:jc w:val="both"/>
        <w:rPr>
          <w:rFonts w:ascii="Tahoma" w:hAnsi="Tahoma" w:cs="Tahoma"/>
          <w:sz w:val="28"/>
          <w:szCs w:val="28"/>
        </w:rPr>
      </w:pPr>
      <w:r w:rsidRPr="00465437">
        <w:rPr>
          <w:rFonts w:ascii="Tahoma" w:hAnsi="Tahoma" w:cs="Tahoma"/>
          <w:sz w:val="28"/>
          <w:szCs w:val="28"/>
        </w:rPr>
        <w:t>In similar manner,</w:t>
      </w:r>
      <w:r>
        <w:rPr>
          <w:rFonts w:ascii="Tahoma" w:hAnsi="Tahoma" w:cs="Tahoma"/>
          <w:sz w:val="28"/>
          <w:szCs w:val="28"/>
        </w:rPr>
        <w:t xml:space="preserve"> the proposed estimates for statutory transfer for the 2019 first quarter was </w:t>
      </w:r>
      <w:r w:rsidRPr="00DF613C">
        <w:rPr>
          <w:rFonts w:ascii="Tahoma" w:hAnsi="Tahoma" w:cs="Tahoma"/>
          <w:dstrike/>
          <w:sz w:val="28"/>
          <w:szCs w:val="28"/>
        </w:rPr>
        <w:t>N</w:t>
      </w:r>
      <w:r>
        <w:rPr>
          <w:rFonts w:ascii="Tahoma" w:hAnsi="Tahoma" w:cs="Tahoma"/>
          <w:sz w:val="28"/>
          <w:szCs w:val="28"/>
        </w:rPr>
        <w:t>2.392</w:t>
      </w:r>
      <w:r w:rsidRPr="00721306">
        <w:rPr>
          <w:rFonts w:ascii="Tahoma" w:hAnsi="Tahoma" w:cs="Tahoma"/>
          <w:sz w:val="28"/>
          <w:szCs w:val="28"/>
        </w:rPr>
        <w:t xml:space="preserve"> billion</w:t>
      </w:r>
      <w:r>
        <w:rPr>
          <w:rFonts w:ascii="Tahoma" w:hAnsi="Tahoma" w:cs="Tahoma"/>
          <w:sz w:val="28"/>
          <w:szCs w:val="28"/>
        </w:rPr>
        <w:t xml:space="preserve">. At the end of the quarter, actual statutory transfer was </w:t>
      </w:r>
      <w:r w:rsidRPr="00DF613C">
        <w:rPr>
          <w:rFonts w:ascii="Tahoma" w:hAnsi="Tahoma" w:cs="Tahoma"/>
          <w:dstrike/>
          <w:sz w:val="28"/>
          <w:szCs w:val="28"/>
        </w:rPr>
        <w:t>N</w:t>
      </w:r>
      <w:r>
        <w:rPr>
          <w:rFonts w:ascii="Tahoma" w:hAnsi="Tahoma" w:cs="Tahoma"/>
          <w:sz w:val="28"/>
          <w:szCs w:val="28"/>
        </w:rPr>
        <w:t>0.930</w:t>
      </w:r>
      <w:r w:rsidRPr="00721306">
        <w:rPr>
          <w:rFonts w:ascii="Tahoma" w:hAnsi="Tahoma" w:cs="Tahoma"/>
          <w:sz w:val="28"/>
          <w:szCs w:val="28"/>
        </w:rPr>
        <w:t xml:space="preserve"> billion</w:t>
      </w:r>
      <w:r>
        <w:rPr>
          <w:rFonts w:ascii="Tahoma" w:hAnsi="Tahoma" w:cs="Tahoma"/>
          <w:sz w:val="28"/>
          <w:szCs w:val="28"/>
        </w:rPr>
        <w:t>, representing 38.9% performance level for the quarter</w:t>
      </w:r>
      <w:r w:rsidRPr="00B20809">
        <w:rPr>
          <w:rFonts w:ascii="Tahoma" w:hAnsi="Tahoma" w:cs="Tahoma"/>
          <w:sz w:val="28"/>
          <w:szCs w:val="28"/>
        </w:rPr>
        <w:t xml:space="preserve"> </w:t>
      </w:r>
      <w:r>
        <w:rPr>
          <w:rFonts w:ascii="Tahoma" w:hAnsi="Tahoma" w:cs="Tahoma"/>
          <w:sz w:val="28"/>
          <w:szCs w:val="28"/>
        </w:rPr>
        <w:t xml:space="preserve">while the corresponding 2018 first quarter actual of </w:t>
      </w:r>
      <w:r w:rsidRPr="00DF613C">
        <w:rPr>
          <w:rFonts w:ascii="Tahoma" w:hAnsi="Tahoma" w:cs="Tahoma"/>
          <w:dstrike/>
          <w:sz w:val="28"/>
          <w:szCs w:val="28"/>
        </w:rPr>
        <w:t>N</w:t>
      </w:r>
      <w:r>
        <w:rPr>
          <w:rFonts w:ascii="Tahoma" w:hAnsi="Tahoma" w:cs="Tahoma"/>
          <w:sz w:val="28"/>
          <w:szCs w:val="28"/>
        </w:rPr>
        <w:t xml:space="preserve">0.767 billion recorded a performance of 36.9%. </w:t>
      </w:r>
    </w:p>
    <w:p w:rsidR="00DC24F2" w:rsidRDefault="00DC24F2" w:rsidP="00170EAC">
      <w:pPr>
        <w:spacing w:line="480" w:lineRule="auto"/>
        <w:ind w:firstLine="720"/>
        <w:jc w:val="both"/>
        <w:rPr>
          <w:rFonts w:ascii="Tahoma" w:hAnsi="Tahoma" w:cs="Tahoma"/>
          <w:sz w:val="28"/>
          <w:szCs w:val="28"/>
        </w:rPr>
      </w:pPr>
      <w:r>
        <w:rPr>
          <w:rFonts w:ascii="Tahoma" w:hAnsi="Tahoma" w:cs="Tahoma"/>
          <w:sz w:val="28"/>
          <w:szCs w:val="28"/>
        </w:rPr>
        <w:t xml:space="preserve">Also, actual capital expenditure was </w:t>
      </w:r>
      <w:r w:rsidRPr="00DF613C">
        <w:rPr>
          <w:rFonts w:ascii="Tahoma" w:hAnsi="Tahoma" w:cs="Tahoma"/>
          <w:dstrike/>
          <w:sz w:val="28"/>
          <w:szCs w:val="28"/>
        </w:rPr>
        <w:t>N</w:t>
      </w:r>
      <w:r>
        <w:rPr>
          <w:rFonts w:ascii="Tahoma" w:hAnsi="Tahoma" w:cs="Tahoma"/>
          <w:sz w:val="28"/>
          <w:szCs w:val="28"/>
        </w:rPr>
        <w:t>3.320</w:t>
      </w:r>
      <w:r w:rsidRPr="00721306">
        <w:rPr>
          <w:rFonts w:ascii="Tahoma" w:hAnsi="Tahoma" w:cs="Tahoma"/>
          <w:sz w:val="28"/>
          <w:szCs w:val="28"/>
        </w:rPr>
        <w:t xml:space="preserve"> billion</w:t>
      </w:r>
      <w:r>
        <w:rPr>
          <w:rFonts w:ascii="Tahoma" w:hAnsi="Tahoma" w:cs="Tahoma"/>
          <w:sz w:val="28"/>
          <w:szCs w:val="28"/>
        </w:rPr>
        <w:t xml:space="preserve"> against the quarter estimates of </w:t>
      </w:r>
      <w:r w:rsidRPr="00DF613C">
        <w:rPr>
          <w:rFonts w:ascii="Tahoma" w:hAnsi="Tahoma" w:cs="Tahoma"/>
          <w:dstrike/>
          <w:sz w:val="28"/>
          <w:szCs w:val="28"/>
        </w:rPr>
        <w:t>N</w:t>
      </w:r>
      <w:r>
        <w:rPr>
          <w:rFonts w:ascii="Tahoma" w:hAnsi="Tahoma" w:cs="Tahoma"/>
          <w:sz w:val="28"/>
          <w:szCs w:val="28"/>
        </w:rPr>
        <w:t xml:space="preserve">22.528 billion, performing at 14.7% level while the corresponding 2018 first quarter actual of </w:t>
      </w:r>
      <w:r w:rsidRPr="00DF613C">
        <w:rPr>
          <w:rFonts w:ascii="Tahoma" w:hAnsi="Tahoma" w:cs="Tahoma"/>
          <w:dstrike/>
          <w:sz w:val="28"/>
          <w:szCs w:val="28"/>
        </w:rPr>
        <w:t>N</w:t>
      </w:r>
      <w:r>
        <w:rPr>
          <w:rFonts w:ascii="Tahoma" w:hAnsi="Tahoma" w:cs="Tahoma"/>
          <w:sz w:val="28"/>
          <w:szCs w:val="28"/>
        </w:rPr>
        <w:t>2.754 billion r</w:t>
      </w:r>
      <w:r w:rsidR="00170EAC">
        <w:rPr>
          <w:rFonts w:ascii="Tahoma" w:hAnsi="Tahoma" w:cs="Tahoma"/>
          <w:sz w:val="28"/>
          <w:szCs w:val="28"/>
        </w:rPr>
        <w:t>ecorded a performance of 15.5%</w:t>
      </w:r>
    </w:p>
    <w:p w:rsidR="00170EAC" w:rsidRDefault="00170EAC" w:rsidP="00170EAC">
      <w:pPr>
        <w:spacing w:line="480" w:lineRule="auto"/>
        <w:ind w:firstLine="720"/>
        <w:jc w:val="both"/>
        <w:rPr>
          <w:rFonts w:ascii="Tahoma" w:hAnsi="Tahoma" w:cs="Tahoma"/>
          <w:sz w:val="28"/>
          <w:szCs w:val="28"/>
        </w:rPr>
      </w:pPr>
    </w:p>
    <w:p w:rsidR="00170EAC" w:rsidRDefault="00170EAC" w:rsidP="00170EAC">
      <w:pPr>
        <w:spacing w:line="480" w:lineRule="auto"/>
        <w:ind w:firstLine="720"/>
        <w:jc w:val="both"/>
        <w:rPr>
          <w:rFonts w:ascii="Tahoma" w:hAnsi="Tahoma" w:cs="Tahoma"/>
          <w:sz w:val="28"/>
          <w:szCs w:val="28"/>
        </w:rPr>
      </w:pPr>
    </w:p>
    <w:p w:rsidR="00170EAC" w:rsidRDefault="00170EAC" w:rsidP="00170EAC">
      <w:pPr>
        <w:spacing w:line="480" w:lineRule="auto"/>
        <w:ind w:firstLine="720"/>
        <w:jc w:val="both"/>
        <w:rPr>
          <w:rFonts w:ascii="Tahoma" w:hAnsi="Tahoma" w:cs="Tahoma"/>
          <w:sz w:val="28"/>
          <w:szCs w:val="28"/>
        </w:rPr>
      </w:pPr>
    </w:p>
    <w:p w:rsidR="00170EAC" w:rsidRDefault="00170EAC" w:rsidP="00170EAC">
      <w:pPr>
        <w:spacing w:line="480" w:lineRule="auto"/>
        <w:ind w:firstLine="720"/>
        <w:jc w:val="both"/>
        <w:rPr>
          <w:rFonts w:ascii="Tahoma" w:hAnsi="Tahoma" w:cs="Tahoma"/>
          <w:sz w:val="28"/>
          <w:szCs w:val="28"/>
        </w:rPr>
      </w:pPr>
    </w:p>
    <w:p w:rsidR="00170EAC" w:rsidRDefault="00170EAC" w:rsidP="00170EAC">
      <w:pPr>
        <w:spacing w:line="480" w:lineRule="auto"/>
        <w:ind w:firstLine="720"/>
        <w:jc w:val="both"/>
        <w:rPr>
          <w:rFonts w:ascii="Tahoma" w:hAnsi="Tahoma" w:cs="Tahoma"/>
          <w:sz w:val="28"/>
          <w:szCs w:val="28"/>
        </w:rPr>
      </w:pPr>
    </w:p>
    <w:p w:rsidR="00170EAC" w:rsidRDefault="00170EAC" w:rsidP="00170EAC">
      <w:pPr>
        <w:spacing w:line="480" w:lineRule="auto"/>
        <w:ind w:firstLine="720"/>
        <w:jc w:val="both"/>
        <w:rPr>
          <w:rFonts w:ascii="Tahoma" w:hAnsi="Tahoma" w:cs="Tahoma"/>
          <w:sz w:val="28"/>
          <w:szCs w:val="28"/>
        </w:rPr>
      </w:pPr>
    </w:p>
    <w:p w:rsidR="00170EAC" w:rsidRPr="00170EAC" w:rsidRDefault="00170EAC" w:rsidP="00170EAC">
      <w:pPr>
        <w:spacing w:line="480" w:lineRule="auto"/>
        <w:ind w:firstLine="720"/>
        <w:jc w:val="both"/>
        <w:rPr>
          <w:rFonts w:ascii="Tahoma" w:hAnsi="Tahoma" w:cs="Tahoma"/>
          <w:sz w:val="28"/>
          <w:szCs w:val="28"/>
        </w:rPr>
      </w:pPr>
    </w:p>
    <w:p w:rsidR="00DC24F2" w:rsidRDefault="00DC24F2" w:rsidP="00B0342B">
      <w:pPr>
        <w:pStyle w:val="NoSpacing"/>
        <w:spacing w:line="360" w:lineRule="auto"/>
        <w:ind w:left="1560" w:hanging="1560"/>
        <w:rPr>
          <w:rFonts w:ascii="Tahoma" w:hAnsi="Tahoma" w:cs="Tahoma"/>
          <w:b/>
          <w:sz w:val="28"/>
          <w:szCs w:val="28"/>
        </w:rPr>
      </w:pPr>
      <w:r>
        <w:rPr>
          <w:rFonts w:ascii="Tahoma" w:hAnsi="Tahoma" w:cs="Tahoma"/>
          <w:b/>
          <w:sz w:val="28"/>
          <w:szCs w:val="28"/>
        </w:rPr>
        <w:lastRenderedPageBreak/>
        <w:t>Figure 3.3: Pie Chart Showing Share of First Quarter Actual</w:t>
      </w:r>
      <w:r w:rsidRPr="00240E83">
        <w:rPr>
          <w:rFonts w:ascii="Tahoma" w:hAnsi="Tahoma" w:cs="Tahoma"/>
          <w:b/>
          <w:sz w:val="28"/>
          <w:szCs w:val="28"/>
        </w:rPr>
        <w:t xml:space="preserve"> Expenditure</w:t>
      </w:r>
      <w:r>
        <w:rPr>
          <w:rFonts w:ascii="Tahoma" w:hAnsi="Tahoma" w:cs="Tahoma"/>
          <w:b/>
          <w:sz w:val="28"/>
          <w:szCs w:val="28"/>
        </w:rPr>
        <w:t xml:space="preserve"> Performance</w:t>
      </w:r>
    </w:p>
    <w:p w:rsidR="00DC24F2" w:rsidRPr="00133E74" w:rsidRDefault="00DC24F2" w:rsidP="00DC24F2">
      <w:pPr>
        <w:pStyle w:val="NoSpacing"/>
        <w:spacing w:line="360" w:lineRule="auto"/>
        <w:rPr>
          <w:rFonts w:ascii="Tahoma" w:hAnsi="Tahoma" w:cs="Tahoma"/>
          <w:b/>
          <w:i/>
          <w:sz w:val="24"/>
          <w:szCs w:val="24"/>
        </w:rPr>
      </w:pPr>
      <w:r>
        <w:rPr>
          <w:noProof/>
          <w:lang w:val="cy-GB" w:eastAsia="cy-GB"/>
        </w:rPr>
        <w:drawing>
          <wp:inline distT="0" distB="0" distL="0" distR="0" wp14:anchorId="28F9EAE2" wp14:editId="16B4996D">
            <wp:extent cx="5800725" cy="40481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C24F2" w:rsidRDefault="00DC24F2" w:rsidP="00DC24F2">
      <w:pPr>
        <w:pStyle w:val="NoSpacing"/>
        <w:spacing w:line="480" w:lineRule="auto"/>
        <w:ind w:firstLine="720"/>
        <w:jc w:val="both"/>
        <w:rPr>
          <w:rFonts w:ascii="Tahoma" w:hAnsi="Tahoma" w:cs="Tahoma"/>
          <w:sz w:val="28"/>
          <w:szCs w:val="28"/>
        </w:rPr>
      </w:pPr>
      <w:r>
        <w:rPr>
          <w:rFonts w:ascii="Tahoma" w:hAnsi="Tahoma" w:cs="Tahoma"/>
          <w:sz w:val="28"/>
          <w:szCs w:val="24"/>
        </w:rPr>
        <w:t xml:space="preserve">Figure 3.3 shows that </w:t>
      </w:r>
      <w:r>
        <w:rPr>
          <w:rFonts w:ascii="Tahoma" w:hAnsi="Tahoma" w:cs="Tahoma"/>
          <w:sz w:val="28"/>
          <w:szCs w:val="28"/>
        </w:rPr>
        <w:t xml:space="preserve">the sum of </w:t>
      </w:r>
      <w:r w:rsidRPr="00DF613C">
        <w:rPr>
          <w:rFonts w:ascii="Tahoma" w:hAnsi="Tahoma" w:cs="Tahoma"/>
          <w:dstrike/>
          <w:sz w:val="28"/>
          <w:szCs w:val="28"/>
        </w:rPr>
        <w:t>N</w:t>
      </w:r>
      <w:r>
        <w:rPr>
          <w:rFonts w:ascii="Tahoma" w:hAnsi="Tahoma" w:cs="Tahoma"/>
          <w:sz w:val="28"/>
          <w:szCs w:val="28"/>
        </w:rPr>
        <w:t>23.696 b</w:t>
      </w:r>
      <w:r w:rsidRPr="00721306">
        <w:rPr>
          <w:rFonts w:ascii="Tahoma" w:hAnsi="Tahoma" w:cs="Tahoma"/>
          <w:sz w:val="28"/>
          <w:szCs w:val="28"/>
        </w:rPr>
        <w:t>illion</w:t>
      </w:r>
      <w:r>
        <w:rPr>
          <w:rFonts w:ascii="Tahoma" w:hAnsi="Tahoma" w:cs="Tahoma"/>
          <w:sz w:val="28"/>
          <w:szCs w:val="28"/>
        </w:rPr>
        <w:t xml:space="preserve"> was recorded as the actual total expenditure for the first quarter of the year 2019. Specifically, the share of actual Recurrent Expenditure was 74%, actual Debt Repayment 8%, actual Statutory Transfer 4% and 14% as actual Capital Expenditure for the quarter. The corresponding 2018 first quarter share revealed that actual Recurrent Expenditure was 72%, actual Debt Repayment 12%, actual Statutory Transfer 3% and 13% as actual Capital Expenditure.</w:t>
      </w:r>
    </w:p>
    <w:p w:rsidR="00170EAC" w:rsidRDefault="00170EAC" w:rsidP="00DC24F2">
      <w:pPr>
        <w:pStyle w:val="NoSpacing"/>
        <w:spacing w:line="480" w:lineRule="auto"/>
        <w:ind w:firstLine="720"/>
        <w:jc w:val="both"/>
        <w:rPr>
          <w:rFonts w:ascii="Tahoma" w:hAnsi="Tahoma" w:cs="Tahoma"/>
          <w:sz w:val="28"/>
          <w:szCs w:val="28"/>
        </w:rPr>
      </w:pPr>
    </w:p>
    <w:p w:rsidR="00DC24F2" w:rsidRDefault="00DC24F2" w:rsidP="00DC24F2">
      <w:pPr>
        <w:pStyle w:val="NoSpacing"/>
        <w:spacing w:line="480" w:lineRule="auto"/>
        <w:jc w:val="both"/>
        <w:rPr>
          <w:rFonts w:ascii="Tahoma" w:hAnsi="Tahoma" w:cs="Tahoma"/>
          <w:sz w:val="28"/>
          <w:szCs w:val="28"/>
        </w:rPr>
      </w:pPr>
    </w:p>
    <w:p w:rsidR="00DC24F2" w:rsidRPr="00D45FDF" w:rsidRDefault="00DC24F2" w:rsidP="00DC24F2">
      <w:pPr>
        <w:pStyle w:val="NoSpacing"/>
        <w:numPr>
          <w:ilvl w:val="1"/>
          <w:numId w:val="2"/>
        </w:numPr>
        <w:spacing w:line="360" w:lineRule="auto"/>
        <w:rPr>
          <w:rFonts w:ascii="Tahoma" w:hAnsi="Tahoma" w:cs="Tahoma"/>
          <w:b/>
          <w:sz w:val="28"/>
          <w:szCs w:val="28"/>
        </w:rPr>
      </w:pPr>
      <w:r>
        <w:rPr>
          <w:rFonts w:ascii="Tahoma" w:hAnsi="Tahoma" w:cs="Tahoma"/>
          <w:b/>
          <w:sz w:val="28"/>
          <w:szCs w:val="28"/>
        </w:rPr>
        <w:lastRenderedPageBreak/>
        <w:t>RECURRENT EXPENDITURE ANALYSIS</w:t>
      </w:r>
    </w:p>
    <w:p w:rsidR="00DC24F2" w:rsidRPr="00A7085D" w:rsidRDefault="00DC24F2" w:rsidP="00DC24F2">
      <w:pPr>
        <w:spacing w:line="480" w:lineRule="auto"/>
        <w:ind w:firstLine="720"/>
        <w:jc w:val="both"/>
        <w:rPr>
          <w:rFonts w:ascii="Tahoma" w:hAnsi="Tahoma" w:cs="Tahoma"/>
          <w:sz w:val="28"/>
          <w:szCs w:val="28"/>
        </w:rPr>
      </w:pPr>
      <w:r>
        <w:rPr>
          <w:rFonts w:ascii="Tahoma" w:hAnsi="Tahoma" w:cs="Tahoma"/>
          <w:sz w:val="28"/>
          <w:szCs w:val="28"/>
        </w:rPr>
        <w:t xml:space="preserve">Analysis of recurrent expenditure for the 2019 first quarter shows that </w:t>
      </w:r>
      <w:r w:rsidRPr="00721306">
        <w:rPr>
          <w:rFonts w:ascii="Tahoma" w:hAnsi="Tahoma" w:cs="Tahoma"/>
          <w:sz w:val="28"/>
          <w:szCs w:val="28"/>
        </w:rPr>
        <w:t>the</w:t>
      </w:r>
      <w:r>
        <w:rPr>
          <w:rFonts w:ascii="Tahoma" w:hAnsi="Tahoma" w:cs="Tahoma"/>
          <w:sz w:val="28"/>
          <w:szCs w:val="28"/>
        </w:rPr>
        <w:t xml:space="preserve"> actual </w:t>
      </w:r>
      <w:r w:rsidRPr="00721306">
        <w:rPr>
          <w:rFonts w:ascii="Tahoma" w:hAnsi="Tahoma" w:cs="Tahoma"/>
          <w:sz w:val="28"/>
          <w:szCs w:val="28"/>
        </w:rPr>
        <w:t>rec</w:t>
      </w:r>
      <w:r>
        <w:rPr>
          <w:rFonts w:ascii="Tahoma" w:hAnsi="Tahoma" w:cs="Tahoma"/>
          <w:sz w:val="28"/>
          <w:szCs w:val="28"/>
        </w:rPr>
        <w:t xml:space="preserve">urrent expenditure for the quarter was </w:t>
      </w:r>
      <w:r w:rsidRPr="00DF613C">
        <w:rPr>
          <w:rFonts w:ascii="Tahoma" w:hAnsi="Tahoma" w:cs="Tahoma"/>
          <w:dstrike/>
          <w:sz w:val="28"/>
          <w:szCs w:val="28"/>
        </w:rPr>
        <w:t>N</w:t>
      </w:r>
      <w:r>
        <w:rPr>
          <w:rFonts w:ascii="Tahoma" w:hAnsi="Tahoma" w:cs="Tahoma"/>
          <w:sz w:val="28"/>
          <w:szCs w:val="28"/>
        </w:rPr>
        <w:t xml:space="preserve">17.537 billion against the proposed estimates of </w:t>
      </w:r>
      <w:r w:rsidRPr="00DF613C">
        <w:rPr>
          <w:rFonts w:ascii="Tahoma" w:hAnsi="Tahoma" w:cs="Tahoma"/>
          <w:dstrike/>
          <w:sz w:val="28"/>
          <w:szCs w:val="28"/>
        </w:rPr>
        <w:t>N</w:t>
      </w:r>
      <w:r>
        <w:rPr>
          <w:rFonts w:ascii="Tahoma" w:hAnsi="Tahoma" w:cs="Tahoma"/>
          <w:sz w:val="28"/>
          <w:szCs w:val="28"/>
        </w:rPr>
        <w:t>20.963</w:t>
      </w:r>
      <w:r w:rsidRPr="00721306">
        <w:rPr>
          <w:rFonts w:ascii="Tahoma" w:hAnsi="Tahoma" w:cs="Tahoma"/>
          <w:sz w:val="28"/>
          <w:szCs w:val="28"/>
        </w:rPr>
        <w:t xml:space="preserve"> billion</w:t>
      </w:r>
      <w:r>
        <w:rPr>
          <w:rFonts w:ascii="Tahoma" w:hAnsi="Tahoma" w:cs="Tahoma"/>
          <w:sz w:val="28"/>
          <w:szCs w:val="28"/>
        </w:rPr>
        <w:t xml:space="preserve"> for the quarter. This figure showed that recurrent expenditure performed at 83.7% level for the quarter while the corresponding 2018 first quarter actual of </w:t>
      </w:r>
      <w:r w:rsidRPr="00DF613C">
        <w:rPr>
          <w:rFonts w:ascii="Tahoma" w:hAnsi="Tahoma" w:cs="Tahoma"/>
          <w:dstrike/>
          <w:sz w:val="28"/>
          <w:szCs w:val="28"/>
        </w:rPr>
        <w:t>N</w:t>
      </w:r>
      <w:r>
        <w:rPr>
          <w:rFonts w:ascii="Tahoma" w:hAnsi="Tahoma" w:cs="Tahoma"/>
          <w:sz w:val="28"/>
          <w:szCs w:val="28"/>
        </w:rPr>
        <w:t>15.446 billion recorded a performance of 69.7%.</w:t>
      </w:r>
    </w:p>
    <w:p w:rsidR="00DC24F2" w:rsidRPr="002A41CF" w:rsidRDefault="00DC24F2" w:rsidP="00DC24F2">
      <w:pPr>
        <w:pStyle w:val="NoSpacing"/>
        <w:spacing w:line="360" w:lineRule="auto"/>
        <w:ind w:left="1418" w:hanging="1418"/>
        <w:rPr>
          <w:rFonts w:ascii="Tahoma" w:hAnsi="Tahoma" w:cs="Tahoma"/>
          <w:b/>
          <w:sz w:val="28"/>
          <w:szCs w:val="28"/>
        </w:rPr>
      </w:pPr>
      <w:r>
        <w:rPr>
          <w:rFonts w:ascii="Tahoma" w:hAnsi="Tahoma" w:cs="Tahoma"/>
          <w:b/>
          <w:sz w:val="28"/>
          <w:szCs w:val="28"/>
        </w:rPr>
        <w:t>Table 3.2: Details of First Quarter Recurrent Expenditure Components</w:t>
      </w:r>
    </w:p>
    <w:tbl>
      <w:tblPr>
        <w:tblStyle w:val="GridTable5Dark-Accent6"/>
        <w:tblW w:w="9790" w:type="dxa"/>
        <w:tblLook w:val="04A0" w:firstRow="1" w:lastRow="0" w:firstColumn="1" w:lastColumn="0" w:noHBand="0" w:noVBand="1"/>
      </w:tblPr>
      <w:tblGrid>
        <w:gridCol w:w="529"/>
        <w:gridCol w:w="2510"/>
        <w:gridCol w:w="1742"/>
        <w:gridCol w:w="1742"/>
        <w:gridCol w:w="1742"/>
        <w:gridCol w:w="1564"/>
      </w:tblGrid>
      <w:tr w:rsidR="00DC24F2" w:rsidRPr="00FA4BEE" w:rsidTr="00DC24F2">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S/N</w:t>
            </w:r>
          </w:p>
        </w:tc>
        <w:tc>
          <w:tcPr>
            <w:tcW w:w="2498" w:type="dxa"/>
            <w:noWrap/>
            <w:hideMark/>
          </w:tcPr>
          <w:p w:rsidR="00DC24F2" w:rsidRPr="00FA4BEE" w:rsidRDefault="00DC24F2" w:rsidP="00DC24F2">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EXPENDITURE DETAILS</w:t>
            </w:r>
          </w:p>
        </w:tc>
        <w:tc>
          <w:tcPr>
            <w:tcW w:w="1734"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APPROVED ESTIMATES </w:t>
            </w:r>
          </w:p>
        </w:tc>
        <w:tc>
          <w:tcPr>
            <w:tcW w:w="1734"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FIRST QUARTER ESTIMATES</w:t>
            </w:r>
          </w:p>
        </w:tc>
        <w:tc>
          <w:tcPr>
            <w:tcW w:w="1734"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FIRST QUARTER ACTUAL                </w:t>
            </w:r>
          </w:p>
        </w:tc>
        <w:tc>
          <w:tcPr>
            <w:tcW w:w="1564" w:type="dxa"/>
            <w:hideMark/>
          </w:tcPr>
          <w:p w:rsidR="00DC24F2" w:rsidRPr="00FA4BEE"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PERFORMANCE LEVEL (%)</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w:t>
            </w:r>
          </w:p>
        </w:tc>
        <w:tc>
          <w:tcPr>
            <w:tcW w:w="2498" w:type="dxa"/>
            <w:noWrap/>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PERSONNEL COST</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36,231,533,708.16 </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9,057,883,427.04</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8,626,169,073.28 </w:t>
            </w:r>
          </w:p>
        </w:tc>
        <w:tc>
          <w:tcPr>
            <w:tcW w:w="156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95.2</w:t>
            </w:r>
          </w:p>
        </w:tc>
      </w:tr>
      <w:tr w:rsidR="00DC24F2" w:rsidRPr="00FA4BEE" w:rsidTr="00DC24F2">
        <w:trPr>
          <w:trHeight w:val="371"/>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2</w:t>
            </w:r>
          </w:p>
        </w:tc>
        <w:tc>
          <w:tcPr>
            <w:tcW w:w="2498" w:type="dxa"/>
            <w:noWrap/>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OVERHEAD COST</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4,512,700,000.00 </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1,128,175,000.00</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744,477,603.00 </w:t>
            </w:r>
          </w:p>
        </w:tc>
        <w:tc>
          <w:tcPr>
            <w:tcW w:w="156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66.0</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3</w:t>
            </w:r>
          </w:p>
        </w:tc>
        <w:tc>
          <w:tcPr>
            <w:tcW w:w="2498" w:type="dxa"/>
            <w:noWrap/>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SPECIAL PROGRAMME </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17,256,976,296.00 </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4,314,244,074.00</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3,018,692,545.89 </w:t>
            </w:r>
          </w:p>
        </w:tc>
        <w:tc>
          <w:tcPr>
            <w:tcW w:w="156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70.0</w:t>
            </w:r>
          </w:p>
        </w:tc>
      </w:tr>
      <w:tr w:rsidR="00DC24F2" w:rsidRPr="00FA4BEE" w:rsidTr="00DC24F2">
        <w:trPr>
          <w:trHeight w:val="742"/>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4</w:t>
            </w:r>
          </w:p>
        </w:tc>
        <w:tc>
          <w:tcPr>
            <w:tcW w:w="2498" w:type="dxa"/>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GRANTS TO PARASTATALS/SUBVENTION</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7,561,500,000.00 </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1,890,375,000.00</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1,449,291,900.00 </w:t>
            </w:r>
          </w:p>
        </w:tc>
        <w:tc>
          <w:tcPr>
            <w:tcW w:w="156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76.7</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5</w:t>
            </w:r>
          </w:p>
        </w:tc>
        <w:tc>
          <w:tcPr>
            <w:tcW w:w="2498" w:type="dxa"/>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CONSOLIDATED REVENUE FUND CHARGE</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18,159,449,200.00 </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4,539,862,300.00</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3,679,415,545.89 </w:t>
            </w:r>
          </w:p>
        </w:tc>
        <w:tc>
          <w:tcPr>
            <w:tcW w:w="156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81.0</w:t>
            </w:r>
          </w:p>
        </w:tc>
      </w:tr>
      <w:tr w:rsidR="00DC24F2" w:rsidRPr="00FA4BEE" w:rsidTr="00DC24F2">
        <w:trPr>
          <w:trHeight w:val="371"/>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6</w:t>
            </w:r>
          </w:p>
        </w:tc>
        <w:tc>
          <w:tcPr>
            <w:tcW w:w="2498" w:type="dxa"/>
            <w:noWrap/>
            <w:hideMark/>
          </w:tcPr>
          <w:p w:rsidR="00DC24F2" w:rsidRPr="00FA4BEE"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GRANTS/LOANS</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130,000,000.00 </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32,500,000.00</w:t>
            </w:r>
          </w:p>
        </w:tc>
        <w:tc>
          <w:tcPr>
            <w:tcW w:w="173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A4BEE">
              <w:rPr>
                <w:rFonts w:ascii="Calibri" w:eastAsia="Times New Roman" w:hAnsi="Calibri" w:cs="Times New Roman"/>
                <w:color w:val="000000"/>
                <w:sz w:val="20"/>
                <w:szCs w:val="20"/>
                <w:lang w:eastAsia="cy-GB"/>
              </w:rPr>
              <w:t xml:space="preserve">            18,482,800.00 </w:t>
            </w:r>
          </w:p>
        </w:tc>
        <w:tc>
          <w:tcPr>
            <w:tcW w:w="1564" w:type="dxa"/>
            <w:noWrap/>
            <w:hideMark/>
          </w:tcPr>
          <w:p w:rsidR="00DC24F2" w:rsidRPr="00FA4BEE"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FA4BEE">
              <w:rPr>
                <w:rFonts w:ascii="Calibri" w:eastAsia="Times New Roman" w:hAnsi="Calibri" w:cs="Times New Roman"/>
                <w:sz w:val="20"/>
                <w:szCs w:val="20"/>
                <w:lang w:eastAsia="cy-GB"/>
              </w:rPr>
              <w:t>56.9</w:t>
            </w:r>
          </w:p>
        </w:tc>
      </w:tr>
      <w:tr w:rsidR="00DC24F2" w:rsidRPr="00FA4BEE" w:rsidTr="00DC24F2">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526" w:type="dxa"/>
            <w:noWrap/>
            <w:hideMark/>
          </w:tcPr>
          <w:p w:rsidR="00DC24F2" w:rsidRPr="00FA4BEE" w:rsidRDefault="00DC24F2" w:rsidP="00DC24F2">
            <w:pPr>
              <w:spacing w:after="0" w:line="240" w:lineRule="auto"/>
              <w:jc w:val="center"/>
              <w:rPr>
                <w:rFonts w:ascii="Calibri" w:eastAsia="Times New Roman" w:hAnsi="Calibri" w:cs="Times New Roman"/>
                <w:color w:val="000000"/>
                <w:sz w:val="20"/>
                <w:szCs w:val="20"/>
                <w:lang w:eastAsia="cy-GB"/>
              </w:rPr>
            </w:pPr>
          </w:p>
        </w:tc>
        <w:tc>
          <w:tcPr>
            <w:tcW w:w="2498" w:type="dxa"/>
            <w:hideMark/>
          </w:tcPr>
          <w:p w:rsidR="00DC24F2" w:rsidRPr="00FA4BEE"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TOTAL RECURRENT EXPENDITURE</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83,852,159,204.16</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20,963,039,801.04</w:t>
            </w:r>
          </w:p>
        </w:tc>
        <w:tc>
          <w:tcPr>
            <w:tcW w:w="173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FA4BEE">
              <w:rPr>
                <w:rFonts w:ascii="Calibri" w:eastAsia="Times New Roman" w:hAnsi="Calibri" w:cs="Times New Roman"/>
                <w:b/>
                <w:bCs/>
                <w:color w:val="000000"/>
                <w:sz w:val="20"/>
                <w:szCs w:val="20"/>
                <w:lang w:eastAsia="cy-GB"/>
              </w:rPr>
              <w:t>17,536,529,468.06</w:t>
            </w:r>
          </w:p>
        </w:tc>
        <w:tc>
          <w:tcPr>
            <w:tcW w:w="1564" w:type="dxa"/>
            <w:noWrap/>
            <w:hideMark/>
          </w:tcPr>
          <w:p w:rsidR="00DC24F2" w:rsidRPr="00FA4BEE"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cy-GB"/>
              </w:rPr>
            </w:pPr>
            <w:r w:rsidRPr="00FA4BEE">
              <w:rPr>
                <w:rFonts w:ascii="Calibri" w:eastAsia="Times New Roman" w:hAnsi="Calibri" w:cs="Times New Roman"/>
                <w:b/>
                <w:bCs/>
                <w:sz w:val="20"/>
                <w:szCs w:val="20"/>
                <w:lang w:eastAsia="cy-GB"/>
              </w:rPr>
              <w:t>83.7</w:t>
            </w:r>
          </w:p>
        </w:tc>
      </w:tr>
    </w:tbl>
    <w:p w:rsidR="00DC24F2" w:rsidRPr="006C3B65" w:rsidRDefault="00DC24F2" w:rsidP="00DC24F2">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Pr>
          <w:rFonts w:ascii="Tahoma" w:hAnsi="Tahoma" w:cs="Tahoma"/>
          <w:i/>
          <w:sz w:val="18"/>
          <w:szCs w:val="18"/>
        </w:rPr>
        <w:t xml:space="preserve">OFFICE OF ACCOUNTANT GENERAL </w:t>
      </w:r>
      <w:r w:rsidRPr="005F786B">
        <w:rPr>
          <w:rFonts w:ascii="Tahoma" w:hAnsi="Tahoma" w:cs="Tahoma"/>
          <w:i/>
          <w:sz w:val="18"/>
          <w:szCs w:val="18"/>
        </w:rPr>
        <w:t>AND OTHER MEDAS</w:t>
      </w:r>
      <w:r w:rsidRPr="0002217C">
        <w:rPr>
          <w:rFonts w:ascii="Tahoma" w:hAnsi="Tahoma" w:cs="Tahoma"/>
          <w:i/>
          <w:sz w:val="24"/>
          <w:szCs w:val="24"/>
        </w:rPr>
        <w:t>,</w:t>
      </w:r>
      <w:r w:rsidRPr="00535985">
        <w:rPr>
          <w:rFonts w:ascii="Tahoma" w:hAnsi="Tahoma" w:cs="Tahoma"/>
          <w:i/>
          <w:sz w:val="18"/>
          <w:szCs w:val="18"/>
        </w:rPr>
        <w:t>ONDO STATE</w:t>
      </w:r>
    </w:p>
    <w:p w:rsidR="00DC24F2" w:rsidRDefault="00DC24F2" w:rsidP="00DC24F2">
      <w:pPr>
        <w:pStyle w:val="NoSpacing"/>
        <w:spacing w:line="360" w:lineRule="auto"/>
        <w:rPr>
          <w:rFonts w:ascii="Tahoma" w:hAnsi="Tahoma" w:cs="Tahoma"/>
          <w:b/>
          <w:sz w:val="28"/>
          <w:szCs w:val="28"/>
        </w:rPr>
      </w:pPr>
    </w:p>
    <w:p w:rsidR="00DC24F2" w:rsidRDefault="00DC24F2" w:rsidP="00DC24F2">
      <w:pPr>
        <w:pStyle w:val="NoSpacing"/>
        <w:spacing w:line="360" w:lineRule="auto"/>
        <w:rPr>
          <w:rFonts w:ascii="Tahoma" w:hAnsi="Tahoma" w:cs="Tahoma"/>
          <w:b/>
          <w:sz w:val="28"/>
          <w:szCs w:val="28"/>
        </w:rPr>
      </w:pPr>
    </w:p>
    <w:p w:rsidR="00DC24F2" w:rsidRDefault="00DC24F2" w:rsidP="00DC24F2">
      <w:pPr>
        <w:pStyle w:val="NoSpacing"/>
        <w:spacing w:line="360" w:lineRule="auto"/>
        <w:rPr>
          <w:rFonts w:ascii="Tahoma" w:hAnsi="Tahoma" w:cs="Tahoma"/>
          <w:b/>
          <w:sz w:val="28"/>
          <w:szCs w:val="28"/>
        </w:rPr>
      </w:pPr>
    </w:p>
    <w:p w:rsidR="00DC24F2" w:rsidRDefault="00DC24F2" w:rsidP="00DC24F2">
      <w:pPr>
        <w:pStyle w:val="NoSpacing"/>
        <w:spacing w:line="360" w:lineRule="auto"/>
        <w:rPr>
          <w:rFonts w:ascii="Tahoma" w:hAnsi="Tahoma" w:cs="Tahoma"/>
          <w:b/>
          <w:sz w:val="28"/>
          <w:szCs w:val="28"/>
        </w:rPr>
      </w:pPr>
    </w:p>
    <w:p w:rsidR="00DC24F2" w:rsidRDefault="00DC24F2" w:rsidP="00DC24F2">
      <w:pPr>
        <w:pStyle w:val="NoSpacing"/>
        <w:spacing w:line="360" w:lineRule="auto"/>
        <w:rPr>
          <w:rFonts w:ascii="Tahoma" w:hAnsi="Tahoma" w:cs="Tahoma"/>
          <w:b/>
          <w:sz w:val="28"/>
          <w:szCs w:val="28"/>
        </w:rPr>
      </w:pPr>
    </w:p>
    <w:p w:rsidR="00DC24F2" w:rsidRDefault="00DC24F2" w:rsidP="00B0342B">
      <w:pPr>
        <w:pStyle w:val="NoSpacing"/>
        <w:spacing w:line="360" w:lineRule="auto"/>
        <w:ind w:left="1560" w:hanging="1560"/>
        <w:rPr>
          <w:rFonts w:ascii="Tahoma" w:hAnsi="Tahoma" w:cs="Tahoma"/>
          <w:b/>
          <w:sz w:val="28"/>
          <w:szCs w:val="28"/>
        </w:rPr>
      </w:pPr>
      <w:r>
        <w:rPr>
          <w:rFonts w:ascii="Tahoma" w:hAnsi="Tahoma" w:cs="Tahoma"/>
          <w:b/>
          <w:sz w:val="28"/>
          <w:szCs w:val="28"/>
        </w:rPr>
        <w:lastRenderedPageBreak/>
        <w:t>Figure 3.4</w:t>
      </w:r>
      <w:r w:rsidRPr="00240E83">
        <w:rPr>
          <w:rFonts w:ascii="Tahoma" w:hAnsi="Tahoma" w:cs="Tahoma"/>
          <w:b/>
          <w:sz w:val="28"/>
          <w:szCs w:val="28"/>
        </w:rPr>
        <w:t xml:space="preserve">: Bar Chart Showing </w:t>
      </w:r>
      <w:r>
        <w:rPr>
          <w:rFonts w:ascii="Tahoma" w:hAnsi="Tahoma" w:cs="Tahoma"/>
          <w:b/>
          <w:sz w:val="28"/>
          <w:szCs w:val="28"/>
        </w:rPr>
        <w:t xml:space="preserve">First Quarter </w:t>
      </w:r>
      <w:r w:rsidRPr="00240E83">
        <w:rPr>
          <w:rFonts w:ascii="Tahoma" w:hAnsi="Tahoma" w:cs="Tahoma"/>
          <w:b/>
          <w:sz w:val="28"/>
          <w:szCs w:val="28"/>
        </w:rPr>
        <w:t>Recurrent</w:t>
      </w:r>
      <w:r>
        <w:rPr>
          <w:rFonts w:ascii="Tahoma" w:hAnsi="Tahoma" w:cs="Tahoma"/>
          <w:b/>
          <w:sz w:val="28"/>
          <w:szCs w:val="28"/>
        </w:rPr>
        <w:t xml:space="preserve"> Expenditure</w:t>
      </w:r>
      <w:r w:rsidRPr="00240E83">
        <w:rPr>
          <w:rFonts w:ascii="Tahoma" w:hAnsi="Tahoma" w:cs="Tahoma"/>
          <w:b/>
          <w:sz w:val="28"/>
          <w:szCs w:val="28"/>
        </w:rPr>
        <w:t xml:space="preserve"> </w:t>
      </w:r>
      <w:r>
        <w:rPr>
          <w:rFonts w:ascii="Tahoma" w:hAnsi="Tahoma" w:cs="Tahoma"/>
          <w:b/>
          <w:sz w:val="28"/>
          <w:szCs w:val="28"/>
        </w:rPr>
        <w:t>Components</w:t>
      </w:r>
    </w:p>
    <w:p w:rsidR="00DC24F2" w:rsidRDefault="00DC24F2" w:rsidP="00DC24F2">
      <w:pPr>
        <w:pStyle w:val="NoSpacing"/>
        <w:spacing w:line="360" w:lineRule="auto"/>
        <w:rPr>
          <w:rFonts w:ascii="Tahoma" w:hAnsi="Tahoma" w:cs="Tahoma"/>
          <w:b/>
          <w:sz w:val="28"/>
          <w:szCs w:val="28"/>
        </w:rPr>
      </w:pPr>
      <w:r>
        <w:rPr>
          <w:noProof/>
          <w:lang w:val="cy-GB" w:eastAsia="cy-GB"/>
        </w:rPr>
        <w:drawing>
          <wp:inline distT="0" distB="0" distL="0" distR="0" wp14:anchorId="296E9C5A" wp14:editId="1370F38D">
            <wp:extent cx="5724525" cy="388620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C24F2" w:rsidRPr="00D43D26" w:rsidRDefault="00DC24F2" w:rsidP="00DC24F2">
      <w:pPr>
        <w:pStyle w:val="NoSpacing"/>
        <w:spacing w:line="480" w:lineRule="auto"/>
        <w:ind w:firstLine="720"/>
        <w:jc w:val="both"/>
        <w:rPr>
          <w:rFonts w:ascii="Tahoma" w:hAnsi="Tahoma" w:cs="Tahoma"/>
          <w:sz w:val="28"/>
          <w:szCs w:val="28"/>
        </w:rPr>
      </w:pPr>
      <w:r>
        <w:rPr>
          <w:rFonts w:ascii="Tahoma" w:hAnsi="Tahoma" w:cs="Tahoma"/>
          <w:sz w:val="28"/>
          <w:szCs w:val="28"/>
        </w:rPr>
        <w:t xml:space="preserve">Table 3.2 and Figure 3.4 show the first quarter recurrent expenditure components for the year 2019. The quarter estimates for Personnel Cost was </w:t>
      </w:r>
      <w:r w:rsidRPr="00DF613C">
        <w:rPr>
          <w:rFonts w:ascii="Tahoma" w:hAnsi="Tahoma" w:cs="Tahoma"/>
          <w:dstrike/>
          <w:sz w:val="28"/>
          <w:szCs w:val="28"/>
        </w:rPr>
        <w:t>N</w:t>
      </w:r>
      <w:r>
        <w:rPr>
          <w:rFonts w:ascii="Tahoma" w:hAnsi="Tahoma" w:cs="Tahoma"/>
          <w:sz w:val="28"/>
          <w:szCs w:val="28"/>
        </w:rPr>
        <w:t>9.058 billion, Overhead Cost</w:t>
      </w:r>
      <w:r w:rsidRPr="00A136F4">
        <w:rPr>
          <w:rFonts w:ascii="Tahoma" w:hAnsi="Tahoma" w:cs="Tahoma"/>
          <w:sz w:val="28"/>
          <w:szCs w:val="28"/>
        </w:rPr>
        <w:t xml:space="preserve"> </w:t>
      </w:r>
      <w:r w:rsidRPr="00DF613C">
        <w:rPr>
          <w:rFonts w:ascii="Tahoma" w:hAnsi="Tahoma" w:cs="Tahoma"/>
          <w:dstrike/>
          <w:sz w:val="28"/>
          <w:szCs w:val="28"/>
        </w:rPr>
        <w:t>N</w:t>
      </w:r>
      <w:r>
        <w:rPr>
          <w:rFonts w:ascii="Tahoma" w:hAnsi="Tahoma" w:cs="Tahoma"/>
          <w:sz w:val="28"/>
          <w:szCs w:val="28"/>
        </w:rPr>
        <w:t xml:space="preserve">1.128 billion, Special Programme </w:t>
      </w:r>
      <w:r w:rsidRPr="00DF613C">
        <w:rPr>
          <w:rFonts w:ascii="Tahoma" w:hAnsi="Tahoma" w:cs="Tahoma"/>
          <w:dstrike/>
          <w:sz w:val="28"/>
          <w:szCs w:val="28"/>
        </w:rPr>
        <w:t>N</w:t>
      </w:r>
      <w:r>
        <w:rPr>
          <w:rFonts w:ascii="Tahoma" w:hAnsi="Tahoma" w:cs="Tahoma"/>
          <w:sz w:val="28"/>
          <w:szCs w:val="28"/>
        </w:rPr>
        <w:t xml:space="preserve">4.314 billion, Grants to Parastatals/Subvention </w:t>
      </w:r>
      <w:r w:rsidRPr="00DF613C">
        <w:rPr>
          <w:rFonts w:ascii="Tahoma" w:hAnsi="Tahoma" w:cs="Tahoma"/>
          <w:dstrike/>
          <w:sz w:val="28"/>
          <w:szCs w:val="28"/>
        </w:rPr>
        <w:t>N</w:t>
      </w:r>
      <w:r>
        <w:rPr>
          <w:rFonts w:ascii="Tahoma" w:hAnsi="Tahoma" w:cs="Tahoma"/>
          <w:sz w:val="28"/>
          <w:szCs w:val="28"/>
        </w:rPr>
        <w:t xml:space="preserve">1.890 billion, Consolidated Revenue Fund Charges </w:t>
      </w:r>
      <w:r w:rsidRPr="00DF613C">
        <w:rPr>
          <w:rFonts w:ascii="Tahoma" w:hAnsi="Tahoma" w:cs="Tahoma"/>
          <w:dstrike/>
          <w:sz w:val="28"/>
          <w:szCs w:val="28"/>
        </w:rPr>
        <w:t>N</w:t>
      </w:r>
      <w:r>
        <w:rPr>
          <w:rFonts w:ascii="Tahoma" w:hAnsi="Tahoma" w:cs="Tahoma"/>
          <w:sz w:val="28"/>
          <w:szCs w:val="28"/>
        </w:rPr>
        <w:t xml:space="preserve">4.540 billion and </w:t>
      </w:r>
      <w:r w:rsidRPr="00DF613C">
        <w:rPr>
          <w:rFonts w:ascii="Tahoma" w:hAnsi="Tahoma" w:cs="Tahoma"/>
          <w:dstrike/>
          <w:sz w:val="28"/>
          <w:szCs w:val="28"/>
        </w:rPr>
        <w:t>N</w:t>
      </w:r>
      <w:r>
        <w:rPr>
          <w:rFonts w:ascii="Tahoma" w:hAnsi="Tahoma" w:cs="Tahoma"/>
          <w:sz w:val="28"/>
          <w:szCs w:val="28"/>
        </w:rPr>
        <w:t xml:space="preserve">0.033 billion as Grants/Loans. At the end of the quarter, the actual of these recurrent expenditure components and performance levels, in the same order were </w:t>
      </w:r>
      <w:r w:rsidRPr="00EE0A03">
        <w:rPr>
          <w:rFonts w:ascii="Tahoma" w:hAnsi="Tahoma" w:cs="Tahoma"/>
          <w:dstrike/>
          <w:sz w:val="28"/>
          <w:szCs w:val="28"/>
        </w:rPr>
        <w:t>N</w:t>
      </w:r>
      <w:r>
        <w:rPr>
          <w:rFonts w:ascii="Tahoma" w:hAnsi="Tahoma" w:cs="Tahoma"/>
          <w:sz w:val="28"/>
          <w:szCs w:val="28"/>
        </w:rPr>
        <w:t>8.626 billion (95.2%),</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0.744 billion (66.0%),</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3.019 billion (70.0%),</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1.449 billion (76.7%),</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 xml:space="preserve">3.679 billion (81.0%) and </w:t>
      </w:r>
      <w:r w:rsidRPr="00EE0A03">
        <w:rPr>
          <w:rFonts w:ascii="Tahoma" w:hAnsi="Tahoma" w:cs="Tahoma"/>
          <w:dstrike/>
          <w:sz w:val="28"/>
          <w:szCs w:val="28"/>
        </w:rPr>
        <w:t>N</w:t>
      </w:r>
      <w:r>
        <w:rPr>
          <w:rFonts w:ascii="Tahoma" w:hAnsi="Tahoma" w:cs="Tahoma"/>
          <w:sz w:val="28"/>
          <w:szCs w:val="28"/>
        </w:rPr>
        <w:t>0.018 billion (56.9%).</w:t>
      </w:r>
    </w:p>
    <w:p w:rsidR="00DC24F2" w:rsidRDefault="00DC24F2" w:rsidP="00DC24F2">
      <w:pPr>
        <w:pStyle w:val="NoSpacing"/>
        <w:spacing w:line="360" w:lineRule="auto"/>
        <w:rPr>
          <w:rFonts w:ascii="Tahoma" w:hAnsi="Tahoma" w:cs="Tahoma"/>
          <w:b/>
          <w:sz w:val="28"/>
          <w:szCs w:val="28"/>
        </w:rPr>
      </w:pPr>
      <w:r>
        <w:rPr>
          <w:rFonts w:ascii="Tahoma" w:hAnsi="Tahoma" w:cs="Tahoma"/>
          <w:b/>
          <w:sz w:val="28"/>
          <w:szCs w:val="28"/>
        </w:rPr>
        <w:lastRenderedPageBreak/>
        <w:t>Figure 3.5: Pie Chart Showing Share of First Quarter Actual</w:t>
      </w:r>
      <w:r w:rsidRPr="00240E83">
        <w:rPr>
          <w:rFonts w:ascii="Tahoma" w:hAnsi="Tahoma" w:cs="Tahoma"/>
          <w:b/>
          <w:sz w:val="28"/>
          <w:szCs w:val="28"/>
        </w:rPr>
        <w:t xml:space="preserve"> Recurrent Expenditure </w:t>
      </w:r>
      <w:r>
        <w:rPr>
          <w:rFonts w:ascii="Tahoma" w:hAnsi="Tahoma" w:cs="Tahoma"/>
          <w:b/>
          <w:sz w:val="28"/>
          <w:szCs w:val="28"/>
        </w:rPr>
        <w:t>Components</w:t>
      </w:r>
      <w:r>
        <w:rPr>
          <w:noProof/>
          <w:lang w:val="cy-GB" w:eastAsia="cy-GB"/>
        </w:rPr>
        <w:drawing>
          <wp:inline distT="0" distB="0" distL="0" distR="0" wp14:anchorId="6F3C2D4E" wp14:editId="72A2F54E">
            <wp:extent cx="5731510" cy="4134671"/>
            <wp:effectExtent l="0" t="0" r="2540" b="184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24F2" w:rsidRPr="008B0A62" w:rsidRDefault="00DC24F2" w:rsidP="00DC24F2">
      <w:pPr>
        <w:pStyle w:val="NoSpacing"/>
        <w:spacing w:line="360" w:lineRule="auto"/>
        <w:rPr>
          <w:rFonts w:ascii="Tahoma" w:hAnsi="Tahoma" w:cs="Tahoma"/>
          <w:b/>
          <w:i/>
          <w:sz w:val="24"/>
          <w:szCs w:val="24"/>
        </w:rPr>
      </w:pPr>
    </w:p>
    <w:p w:rsidR="00DC24F2" w:rsidRPr="00822A8E" w:rsidRDefault="00DC24F2" w:rsidP="00DC24F2">
      <w:pPr>
        <w:pStyle w:val="NoSpacing"/>
        <w:spacing w:line="480" w:lineRule="auto"/>
        <w:ind w:firstLine="720"/>
        <w:jc w:val="both"/>
        <w:rPr>
          <w:rFonts w:ascii="Tahoma" w:hAnsi="Tahoma" w:cs="Tahoma"/>
          <w:sz w:val="28"/>
          <w:szCs w:val="28"/>
        </w:rPr>
      </w:pPr>
      <w:r>
        <w:rPr>
          <w:rFonts w:ascii="Tahoma" w:hAnsi="Tahoma" w:cs="Tahoma"/>
          <w:sz w:val="28"/>
          <w:szCs w:val="24"/>
        </w:rPr>
        <w:t>Figure 3.5 reveals that out of</w:t>
      </w:r>
      <w:r w:rsidRPr="00491FE5">
        <w:rPr>
          <w:rFonts w:ascii="Tahoma" w:hAnsi="Tahoma" w:cs="Tahoma"/>
          <w:sz w:val="28"/>
          <w:szCs w:val="28"/>
        </w:rPr>
        <w:t xml:space="preserve"> </w:t>
      </w:r>
      <w:r>
        <w:rPr>
          <w:rFonts w:ascii="Tahoma" w:hAnsi="Tahoma" w:cs="Tahoma"/>
          <w:sz w:val="28"/>
          <w:szCs w:val="28"/>
        </w:rPr>
        <w:t xml:space="preserve">the first quarter actual  recurrent expenditure of </w:t>
      </w:r>
      <w:r w:rsidRPr="00DF613C">
        <w:rPr>
          <w:rFonts w:ascii="Tahoma" w:hAnsi="Tahoma" w:cs="Tahoma"/>
          <w:dstrike/>
          <w:sz w:val="28"/>
          <w:szCs w:val="28"/>
        </w:rPr>
        <w:t>N</w:t>
      </w:r>
      <w:r>
        <w:rPr>
          <w:rFonts w:ascii="Tahoma" w:hAnsi="Tahoma" w:cs="Tahoma"/>
          <w:sz w:val="28"/>
          <w:szCs w:val="28"/>
        </w:rPr>
        <w:t>17.536 billion, Personnel cost accounted for 49%, Overhead Cost 4%, Special Programme 17%, Grants to Parastatals/Subvention 9%, Consolidated Revenue Fund Charges 21% and Grants/Loans 0.001% for the first quarter of the year 2019. The corresponding 2018 first quarter share revealed that personnel cost was 52%, Overhead Cost 5%, Special Programme 13%, Grants to Parastatals/Subvention 6%, Consolidated Revenue Fund Charges 24% and 0.001% as Grants/Loans.</w:t>
      </w:r>
    </w:p>
    <w:p w:rsidR="00DC24F2" w:rsidRPr="0078766A" w:rsidRDefault="00DC24F2" w:rsidP="00DC24F2">
      <w:pPr>
        <w:pStyle w:val="NoSpacing"/>
        <w:numPr>
          <w:ilvl w:val="2"/>
          <w:numId w:val="2"/>
        </w:numPr>
        <w:spacing w:line="480" w:lineRule="auto"/>
        <w:jc w:val="both"/>
        <w:rPr>
          <w:rFonts w:ascii="Tahoma" w:hAnsi="Tahoma" w:cs="Tahoma"/>
          <w:b/>
          <w:sz w:val="28"/>
          <w:szCs w:val="28"/>
        </w:rPr>
      </w:pPr>
      <w:r w:rsidRPr="0078766A">
        <w:rPr>
          <w:rFonts w:ascii="Tahoma" w:hAnsi="Tahoma" w:cs="Tahoma"/>
          <w:b/>
          <w:sz w:val="28"/>
          <w:szCs w:val="28"/>
        </w:rPr>
        <w:lastRenderedPageBreak/>
        <w:t>PERSONNEL COST</w:t>
      </w:r>
    </w:p>
    <w:p w:rsidR="00DC24F2" w:rsidRPr="0098317E" w:rsidRDefault="00DC24F2" w:rsidP="00DC24F2">
      <w:pPr>
        <w:spacing w:line="480" w:lineRule="auto"/>
        <w:ind w:firstLine="720"/>
        <w:jc w:val="both"/>
        <w:rPr>
          <w:rFonts w:ascii="Tahoma" w:hAnsi="Tahoma" w:cs="Tahoma"/>
          <w:sz w:val="28"/>
          <w:szCs w:val="28"/>
        </w:rPr>
      </w:pPr>
      <w:r>
        <w:rPr>
          <w:rFonts w:ascii="Tahoma" w:hAnsi="Tahoma" w:cs="Tahoma"/>
          <w:sz w:val="28"/>
          <w:szCs w:val="28"/>
        </w:rPr>
        <w:t xml:space="preserve">With quarter estimates of </w:t>
      </w:r>
      <w:r w:rsidRPr="00DF613C">
        <w:rPr>
          <w:rFonts w:ascii="Tahoma" w:hAnsi="Tahoma" w:cs="Tahoma"/>
          <w:dstrike/>
          <w:sz w:val="28"/>
          <w:szCs w:val="28"/>
        </w:rPr>
        <w:t>N</w:t>
      </w:r>
      <w:r>
        <w:rPr>
          <w:rFonts w:ascii="Tahoma" w:hAnsi="Tahoma" w:cs="Tahoma"/>
          <w:sz w:val="28"/>
          <w:szCs w:val="28"/>
        </w:rPr>
        <w:t xml:space="preserve">9.058 billion, actual personnel cost for the 2019 first quarter was </w:t>
      </w:r>
      <w:r w:rsidRPr="00DF613C">
        <w:rPr>
          <w:rFonts w:ascii="Tahoma" w:hAnsi="Tahoma" w:cs="Tahoma"/>
          <w:dstrike/>
          <w:sz w:val="28"/>
          <w:szCs w:val="28"/>
        </w:rPr>
        <w:t>N</w:t>
      </w:r>
      <w:r>
        <w:rPr>
          <w:rFonts w:ascii="Tahoma" w:hAnsi="Tahoma" w:cs="Tahoma"/>
          <w:sz w:val="28"/>
          <w:szCs w:val="28"/>
        </w:rPr>
        <w:t xml:space="preserve">8.626 billion, representing  95.2% performance level for the quarter while the corresponding 2018 first quarter actual of </w:t>
      </w:r>
      <w:r w:rsidRPr="00DF613C">
        <w:rPr>
          <w:rFonts w:ascii="Tahoma" w:hAnsi="Tahoma" w:cs="Tahoma"/>
          <w:dstrike/>
          <w:sz w:val="28"/>
          <w:szCs w:val="28"/>
        </w:rPr>
        <w:t>N</w:t>
      </w:r>
      <w:r>
        <w:rPr>
          <w:rFonts w:ascii="Tahoma" w:hAnsi="Tahoma" w:cs="Tahoma"/>
          <w:sz w:val="28"/>
          <w:szCs w:val="28"/>
        </w:rPr>
        <w:t xml:space="preserve">7.923 billion recorded a performance of 79.2%. </w:t>
      </w:r>
    </w:p>
    <w:p w:rsidR="00DC24F2" w:rsidRDefault="00DC24F2" w:rsidP="00DC24F2">
      <w:pPr>
        <w:pStyle w:val="NoSpacing"/>
        <w:spacing w:line="360" w:lineRule="auto"/>
        <w:rPr>
          <w:rFonts w:ascii="Tahoma" w:hAnsi="Tahoma" w:cs="Tahoma"/>
          <w:b/>
          <w:sz w:val="28"/>
          <w:szCs w:val="28"/>
        </w:rPr>
      </w:pPr>
      <w:r w:rsidRPr="00240E83">
        <w:rPr>
          <w:rFonts w:ascii="Tahoma" w:hAnsi="Tahoma" w:cs="Tahoma"/>
          <w:b/>
          <w:sz w:val="28"/>
          <w:szCs w:val="28"/>
        </w:rPr>
        <w:t>Figure 3</w:t>
      </w:r>
      <w:r>
        <w:rPr>
          <w:rFonts w:ascii="Tahoma" w:hAnsi="Tahoma" w:cs="Tahoma"/>
          <w:b/>
          <w:sz w:val="28"/>
          <w:szCs w:val="28"/>
        </w:rPr>
        <w:t>.6</w:t>
      </w:r>
      <w:r w:rsidRPr="00240E83">
        <w:rPr>
          <w:rFonts w:ascii="Tahoma" w:hAnsi="Tahoma" w:cs="Tahoma"/>
          <w:b/>
          <w:sz w:val="28"/>
          <w:szCs w:val="28"/>
        </w:rPr>
        <w:t>:</w:t>
      </w:r>
      <w:r>
        <w:rPr>
          <w:rFonts w:ascii="Tahoma" w:hAnsi="Tahoma" w:cs="Tahoma"/>
          <w:b/>
          <w:sz w:val="28"/>
          <w:szCs w:val="28"/>
        </w:rPr>
        <w:t xml:space="preserve"> Bar Chart Showing First Quarter Personnel Cost</w:t>
      </w:r>
    </w:p>
    <w:p w:rsidR="00DC24F2" w:rsidRDefault="00DC24F2" w:rsidP="00DC24F2">
      <w:pPr>
        <w:pStyle w:val="NoSpacing"/>
        <w:spacing w:line="360" w:lineRule="auto"/>
        <w:rPr>
          <w:rFonts w:ascii="Tahoma" w:hAnsi="Tahoma" w:cs="Tahoma"/>
          <w:b/>
          <w:i/>
          <w:sz w:val="24"/>
          <w:szCs w:val="24"/>
        </w:rPr>
      </w:pPr>
      <w:r>
        <w:rPr>
          <w:noProof/>
          <w:lang w:val="cy-GB" w:eastAsia="cy-GB"/>
        </w:rPr>
        <w:drawing>
          <wp:inline distT="0" distB="0" distL="0" distR="0" wp14:anchorId="70A9A7CC" wp14:editId="37971DB1">
            <wp:extent cx="5791200" cy="47910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val="cy-GB" w:eastAsia="cy-GB"/>
        </w:rPr>
        <w:t xml:space="preserve"> </w:t>
      </w:r>
      <w:r>
        <w:rPr>
          <w:rFonts w:ascii="Tahoma" w:hAnsi="Tahoma" w:cs="Tahoma"/>
          <w:b/>
          <w:i/>
          <w:sz w:val="24"/>
          <w:szCs w:val="24"/>
        </w:rPr>
        <w:br w:type="textWrapping" w:clear="all"/>
      </w:r>
    </w:p>
    <w:p w:rsidR="00DC24F2" w:rsidRDefault="00DC24F2" w:rsidP="00DC24F2">
      <w:pPr>
        <w:pStyle w:val="NoSpacing"/>
        <w:spacing w:line="360" w:lineRule="auto"/>
        <w:rPr>
          <w:rFonts w:ascii="Tahoma" w:hAnsi="Tahoma" w:cs="Tahoma"/>
          <w:b/>
          <w:i/>
          <w:sz w:val="24"/>
          <w:szCs w:val="24"/>
        </w:rPr>
      </w:pPr>
    </w:p>
    <w:p w:rsidR="00DC24F2" w:rsidRDefault="00DC24F2" w:rsidP="00DC24F2">
      <w:pPr>
        <w:pStyle w:val="NoSpacing"/>
        <w:spacing w:line="360" w:lineRule="auto"/>
        <w:rPr>
          <w:rFonts w:ascii="Tahoma" w:hAnsi="Tahoma" w:cs="Tahoma"/>
          <w:b/>
          <w:i/>
          <w:sz w:val="24"/>
          <w:szCs w:val="24"/>
        </w:rPr>
      </w:pPr>
    </w:p>
    <w:p w:rsidR="00DC24F2" w:rsidRDefault="00DC24F2" w:rsidP="00DC24F2">
      <w:pPr>
        <w:pStyle w:val="NoSpacing"/>
        <w:spacing w:line="360" w:lineRule="auto"/>
        <w:rPr>
          <w:rFonts w:ascii="Tahoma" w:hAnsi="Tahoma" w:cs="Tahoma"/>
          <w:b/>
          <w:i/>
          <w:sz w:val="24"/>
          <w:szCs w:val="24"/>
        </w:rPr>
      </w:pPr>
    </w:p>
    <w:p w:rsidR="00170EAC" w:rsidRDefault="00170EAC" w:rsidP="00DC24F2">
      <w:pPr>
        <w:pStyle w:val="NoSpacing"/>
        <w:spacing w:line="360" w:lineRule="auto"/>
        <w:rPr>
          <w:rFonts w:ascii="Tahoma" w:hAnsi="Tahoma" w:cs="Tahoma"/>
          <w:b/>
          <w:i/>
          <w:sz w:val="24"/>
          <w:szCs w:val="24"/>
        </w:rPr>
      </w:pPr>
    </w:p>
    <w:p w:rsidR="00DC24F2" w:rsidRDefault="00DC24F2" w:rsidP="00DC24F2">
      <w:pPr>
        <w:pStyle w:val="NoSpacing"/>
        <w:spacing w:line="360" w:lineRule="auto"/>
        <w:rPr>
          <w:rFonts w:ascii="Tahoma" w:hAnsi="Tahoma" w:cs="Tahoma"/>
          <w:b/>
          <w:i/>
          <w:sz w:val="24"/>
          <w:szCs w:val="24"/>
        </w:rPr>
      </w:pPr>
    </w:p>
    <w:p w:rsidR="00DC24F2" w:rsidRPr="002A41CF" w:rsidRDefault="00DC24F2" w:rsidP="00DC24F2">
      <w:pPr>
        <w:pStyle w:val="NoSpacing"/>
        <w:spacing w:line="360" w:lineRule="auto"/>
        <w:ind w:left="1418" w:hanging="1418"/>
        <w:rPr>
          <w:rFonts w:ascii="Tahoma" w:hAnsi="Tahoma" w:cs="Tahoma"/>
          <w:b/>
          <w:sz w:val="28"/>
          <w:szCs w:val="28"/>
        </w:rPr>
      </w:pPr>
      <w:r>
        <w:rPr>
          <w:rFonts w:ascii="Tahoma" w:hAnsi="Tahoma" w:cs="Tahoma"/>
          <w:b/>
          <w:sz w:val="28"/>
          <w:szCs w:val="28"/>
        </w:rPr>
        <w:lastRenderedPageBreak/>
        <w:t xml:space="preserve">Table 3.3: </w:t>
      </w:r>
      <w:r w:rsidR="003B2831">
        <w:rPr>
          <w:rFonts w:ascii="Tahoma" w:hAnsi="Tahoma" w:cs="Tahoma"/>
          <w:b/>
          <w:sz w:val="28"/>
          <w:szCs w:val="28"/>
        </w:rPr>
        <w:t>Details of First Quarter Personnel Cost</w:t>
      </w:r>
    </w:p>
    <w:tbl>
      <w:tblPr>
        <w:tblStyle w:val="GridTable5Dark-Accent6"/>
        <w:tblW w:w="9142" w:type="dxa"/>
        <w:tblLook w:val="04A0" w:firstRow="1" w:lastRow="0" w:firstColumn="1" w:lastColumn="0" w:noHBand="0" w:noVBand="1"/>
      </w:tblPr>
      <w:tblGrid>
        <w:gridCol w:w="878"/>
        <w:gridCol w:w="5122"/>
        <w:gridCol w:w="3142"/>
      </w:tblGrid>
      <w:tr w:rsidR="00DC24F2" w:rsidRPr="00C45FA9" w:rsidTr="00DC24F2">
        <w:trPr>
          <w:cnfStyle w:val="100000000000" w:firstRow="1" w:lastRow="0" w:firstColumn="0" w:lastColumn="0" w:oddVBand="0" w:evenVBand="0" w:oddHBand="0" w:evenHBand="0" w:firstRowFirstColumn="0" w:firstRowLastColumn="0" w:lastRowFirstColumn="0" w:lastRowLastColumn="0"/>
          <w:trHeight w:val="1023"/>
        </w:trPr>
        <w:tc>
          <w:tcPr>
            <w:cnfStyle w:val="001000000000" w:firstRow="0" w:lastRow="0" w:firstColumn="1" w:lastColumn="0" w:oddVBand="0" w:evenVBand="0" w:oddHBand="0" w:evenHBand="0" w:firstRowFirstColumn="0" w:firstRowLastColumn="0" w:lastRowFirstColumn="0" w:lastRowLastColumn="0"/>
            <w:tcW w:w="878" w:type="dxa"/>
            <w:noWrap/>
            <w:hideMark/>
          </w:tcPr>
          <w:p w:rsidR="00DC24F2" w:rsidRPr="00C45FA9" w:rsidRDefault="00DC24F2" w:rsidP="00DC24F2">
            <w:pPr>
              <w:spacing w:after="0" w:line="240" w:lineRule="auto"/>
              <w:jc w:val="right"/>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S/N</w:t>
            </w:r>
          </w:p>
        </w:tc>
        <w:tc>
          <w:tcPr>
            <w:tcW w:w="5122" w:type="dxa"/>
            <w:noWrap/>
            <w:hideMark/>
          </w:tcPr>
          <w:p w:rsidR="00DC24F2" w:rsidRPr="00C45FA9" w:rsidRDefault="00DC24F2" w:rsidP="00DC24F2">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 xml:space="preserve">PERONNEL DETAILS </w:t>
            </w:r>
          </w:p>
        </w:tc>
        <w:tc>
          <w:tcPr>
            <w:tcW w:w="3142" w:type="dxa"/>
            <w:hideMark/>
          </w:tcPr>
          <w:p w:rsidR="00DC24F2" w:rsidRPr="00C45FA9"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FIRST QUARTER ACTUAL</w:t>
            </w:r>
          </w:p>
        </w:tc>
      </w:tr>
      <w:tr w:rsidR="00DC24F2" w:rsidRPr="00C45FA9" w:rsidTr="00DC24F2">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878" w:type="dxa"/>
            <w:noWrap/>
            <w:hideMark/>
          </w:tcPr>
          <w:p w:rsidR="00DC24F2" w:rsidRPr="00C45FA9" w:rsidRDefault="00DC24F2" w:rsidP="00DC24F2">
            <w:pPr>
              <w:spacing w:after="0" w:line="240" w:lineRule="auto"/>
              <w:jc w:val="right"/>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1</w:t>
            </w:r>
          </w:p>
        </w:tc>
        <w:tc>
          <w:tcPr>
            <w:tcW w:w="5122" w:type="dxa"/>
            <w:noWrap/>
            <w:hideMark/>
          </w:tcPr>
          <w:p w:rsidR="00DC24F2" w:rsidRPr="00C45FA9"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 xml:space="preserve"> CORE CIVIL SERVICE </w:t>
            </w:r>
          </w:p>
        </w:tc>
        <w:tc>
          <w:tcPr>
            <w:tcW w:w="3142" w:type="dxa"/>
            <w:noWrap/>
            <w:hideMark/>
          </w:tcPr>
          <w:p w:rsidR="00DC24F2" w:rsidRPr="00C45FA9"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4,425,996,391.13</w:t>
            </w:r>
          </w:p>
        </w:tc>
      </w:tr>
      <w:tr w:rsidR="00DC24F2" w:rsidRPr="00C45FA9" w:rsidTr="00DC24F2">
        <w:trPr>
          <w:trHeight w:val="509"/>
        </w:trPr>
        <w:tc>
          <w:tcPr>
            <w:cnfStyle w:val="001000000000" w:firstRow="0" w:lastRow="0" w:firstColumn="1" w:lastColumn="0" w:oddVBand="0" w:evenVBand="0" w:oddHBand="0" w:evenHBand="0" w:firstRowFirstColumn="0" w:firstRowLastColumn="0" w:lastRowFirstColumn="0" w:lastRowLastColumn="0"/>
            <w:tcW w:w="878" w:type="dxa"/>
            <w:noWrap/>
            <w:hideMark/>
          </w:tcPr>
          <w:p w:rsidR="00DC24F2" w:rsidRPr="00C45FA9" w:rsidRDefault="00DC24F2" w:rsidP="00DC24F2">
            <w:pPr>
              <w:spacing w:after="0" w:line="240" w:lineRule="auto"/>
              <w:jc w:val="right"/>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2</w:t>
            </w:r>
          </w:p>
        </w:tc>
        <w:tc>
          <w:tcPr>
            <w:tcW w:w="5122" w:type="dxa"/>
            <w:noWrap/>
            <w:hideMark/>
          </w:tcPr>
          <w:p w:rsidR="00DC24F2" w:rsidRPr="00C45FA9"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 xml:space="preserve"> ADHOC HMB STAFF </w:t>
            </w:r>
          </w:p>
        </w:tc>
        <w:tc>
          <w:tcPr>
            <w:tcW w:w="3142" w:type="dxa"/>
            <w:noWrap/>
            <w:hideMark/>
          </w:tcPr>
          <w:p w:rsidR="00DC24F2" w:rsidRPr="00C45FA9"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110,760,798.66</w:t>
            </w:r>
          </w:p>
        </w:tc>
      </w:tr>
      <w:tr w:rsidR="00DC24F2" w:rsidRPr="00C45FA9" w:rsidTr="00DC24F2">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878" w:type="dxa"/>
            <w:noWrap/>
            <w:hideMark/>
          </w:tcPr>
          <w:p w:rsidR="00DC24F2" w:rsidRPr="00C45FA9" w:rsidRDefault="00DC24F2" w:rsidP="00DC24F2">
            <w:pPr>
              <w:spacing w:after="0" w:line="240" w:lineRule="auto"/>
              <w:jc w:val="right"/>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3</w:t>
            </w:r>
          </w:p>
        </w:tc>
        <w:tc>
          <w:tcPr>
            <w:tcW w:w="5122" w:type="dxa"/>
            <w:noWrap/>
            <w:hideMark/>
          </w:tcPr>
          <w:p w:rsidR="00DC24F2" w:rsidRPr="00C45FA9"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 xml:space="preserve"> ADHOC MIN. OF AGRIC STAFF </w:t>
            </w:r>
          </w:p>
        </w:tc>
        <w:tc>
          <w:tcPr>
            <w:tcW w:w="3142" w:type="dxa"/>
            <w:noWrap/>
            <w:hideMark/>
          </w:tcPr>
          <w:p w:rsidR="00DC24F2" w:rsidRPr="00C45FA9"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2,664,901.06</w:t>
            </w:r>
          </w:p>
        </w:tc>
      </w:tr>
      <w:tr w:rsidR="00DC24F2" w:rsidRPr="00C45FA9" w:rsidTr="00DC24F2">
        <w:trPr>
          <w:trHeight w:val="509"/>
        </w:trPr>
        <w:tc>
          <w:tcPr>
            <w:cnfStyle w:val="001000000000" w:firstRow="0" w:lastRow="0" w:firstColumn="1" w:lastColumn="0" w:oddVBand="0" w:evenVBand="0" w:oddHBand="0" w:evenHBand="0" w:firstRowFirstColumn="0" w:firstRowLastColumn="0" w:lastRowFirstColumn="0" w:lastRowLastColumn="0"/>
            <w:tcW w:w="878" w:type="dxa"/>
            <w:noWrap/>
            <w:hideMark/>
          </w:tcPr>
          <w:p w:rsidR="00DC24F2" w:rsidRPr="00C45FA9" w:rsidRDefault="00DC24F2" w:rsidP="00DC24F2">
            <w:pPr>
              <w:spacing w:after="0" w:line="240" w:lineRule="auto"/>
              <w:jc w:val="right"/>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4</w:t>
            </w:r>
          </w:p>
        </w:tc>
        <w:tc>
          <w:tcPr>
            <w:tcW w:w="5122" w:type="dxa"/>
            <w:noWrap/>
            <w:hideMark/>
          </w:tcPr>
          <w:p w:rsidR="00DC24F2" w:rsidRPr="00C45FA9"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 xml:space="preserve"> TESCOM (PUB. SECONDARY SCH) </w:t>
            </w:r>
          </w:p>
        </w:tc>
        <w:tc>
          <w:tcPr>
            <w:tcW w:w="3142" w:type="dxa"/>
            <w:noWrap/>
            <w:hideMark/>
          </w:tcPr>
          <w:p w:rsidR="00DC24F2" w:rsidRPr="00C45FA9"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3,692,273,151.60</w:t>
            </w:r>
          </w:p>
        </w:tc>
      </w:tr>
      <w:tr w:rsidR="00DC24F2" w:rsidRPr="00C45FA9" w:rsidTr="00DC24F2">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878" w:type="dxa"/>
            <w:noWrap/>
            <w:hideMark/>
          </w:tcPr>
          <w:p w:rsidR="00DC24F2" w:rsidRPr="00C45FA9" w:rsidRDefault="00DC24F2" w:rsidP="00DC24F2">
            <w:pPr>
              <w:spacing w:after="0" w:line="240" w:lineRule="auto"/>
              <w:jc w:val="right"/>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5</w:t>
            </w:r>
          </w:p>
        </w:tc>
        <w:tc>
          <w:tcPr>
            <w:tcW w:w="5122" w:type="dxa"/>
            <w:noWrap/>
            <w:hideMark/>
          </w:tcPr>
          <w:p w:rsidR="00DC24F2" w:rsidRPr="00C45FA9"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 xml:space="preserve"> JUDICIARY</w:t>
            </w:r>
          </w:p>
        </w:tc>
        <w:tc>
          <w:tcPr>
            <w:tcW w:w="3142" w:type="dxa"/>
            <w:noWrap/>
            <w:hideMark/>
          </w:tcPr>
          <w:p w:rsidR="00DC24F2" w:rsidRPr="00C45FA9"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394,473,830.83</w:t>
            </w:r>
          </w:p>
        </w:tc>
      </w:tr>
      <w:tr w:rsidR="00DC24F2" w:rsidRPr="00C45FA9" w:rsidTr="00DC24F2">
        <w:trPr>
          <w:trHeight w:val="509"/>
        </w:trPr>
        <w:tc>
          <w:tcPr>
            <w:cnfStyle w:val="001000000000" w:firstRow="0" w:lastRow="0" w:firstColumn="1" w:lastColumn="0" w:oddVBand="0" w:evenVBand="0" w:oddHBand="0" w:evenHBand="0" w:firstRowFirstColumn="0" w:firstRowLastColumn="0" w:lastRowFirstColumn="0" w:lastRowLastColumn="0"/>
            <w:tcW w:w="878" w:type="dxa"/>
            <w:noWrap/>
            <w:hideMark/>
          </w:tcPr>
          <w:p w:rsidR="00DC24F2" w:rsidRPr="00C45FA9" w:rsidRDefault="00DC24F2" w:rsidP="00DC24F2">
            <w:pPr>
              <w:spacing w:after="0" w:line="240" w:lineRule="auto"/>
              <w:jc w:val="right"/>
              <w:rPr>
                <w:rFonts w:ascii="Calibri" w:eastAsia="Times New Roman" w:hAnsi="Calibri" w:cs="Times New Roman"/>
                <w:color w:val="000000"/>
                <w:lang w:eastAsia="cy-GB"/>
              </w:rPr>
            </w:pPr>
            <w:r w:rsidRPr="00C45FA9">
              <w:rPr>
                <w:rFonts w:ascii="Calibri" w:eastAsia="Times New Roman" w:hAnsi="Calibri" w:cs="Times New Roman"/>
                <w:color w:val="000000"/>
                <w:lang w:eastAsia="cy-GB"/>
              </w:rPr>
              <w:t> </w:t>
            </w:r>
          </w:p>
        </w:tc>
        <w:tc>
          <w:tcPr>
            <w:tcW w:w="5122" w:type="dxa"/>
            <w:noWrap/>
            <w:hideMark/>
          </w:tcPr>
          <w:p w:rsidR="00DC24F2" w:rsidRPr="00C45FA9"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45FA9">
              <w:rPr>
                <w:rFonts w:ascii="Calibri" w:eastAsia="Times New Roman" w:hAnsi="Calibri" w:cs="Times New Roman"/>
                <w:b/>
                <w:bCs/>
                <w:color w:val="000000"/>
                <w:lang w:eastAsia="cy-GB"/>
              </w:rPr>
              <w:t xml:space="preserve"> TOTAL </w:t>
            </w:r>
          </w:p>
        </w:tc>
        <w:tc>
          <w:tcPr>
            <w:tcW w:w="3142" w:type="dxa"/>
            <w:noWrap/>
            <w:hideMark/>
          </w:tcPr>
          <w:p w:rsidR="00DC24F2" w:rsidRPr="00C45FA9"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sidRPr="00C45FA9">
              <w:rPr>
                <w:rFonts w:ascii="Calibri" w:eastAsia="Times New Roman" w:hAnsi="Calibri" w:cs="Times New Roman"/>
                <w:b/>
                <w:bCs/>
                <w:color w:val="000000"/>
                <w:lang w:eastAsia="cy-GB"/>
              </w:rPr>
              <w:t>8,626,169,073.28</w:t>
            </w:r>
          </w:p>
        </w:tc>
      </w:tr>
    </w:tbl>
    <w:p w:rsidR="00DC24F2" w:rsidRPr="002E16B8" w:rsidRDefault="00DC24F2" w:rsidP="00DC24F2">
      <w:pPr>
        <w:pStyle w:val="NoSpacing"/>
        <w:spacing w:line="360" w:lineRule="auto"/>
        <w:rPr>
          <w:rFonts w:ascii="Tahoma" w:hAnsi="Tahoma" w:cs="Tahoma"/>
          <w:i/>
          <w:sz w:val="18"/>
          <w:szCs w:val="18"/>
        </w:rPr>
      </w:pPr>
      <w:r w:rsidRPr="00535985">
        <w:rPr>
          <w:rFonts w:ascii="Tahoma" w:hAnsi="Tahoma" w:cs="Tahoma"/>
          <w:b/>
          <w:sz w:val="18"/>
          <w:szCs w:val="18"/>
        </w:rPr>
        <w:t xml:space="preserve"> SOURCE: </w:t>
      </w:r>
      <w:r w:rsidRPr="00535985">
        <w:rPr>
          <w:rFonts w:ascii="Tahoma" w:hAnsi="Tahoma" w:cs="Tahoma"/>
          <w:i/>
          <w:sz w:val="18"/>
          <w:szCs w:val="18"/>
        </w:rPr>
        <w:t>OFFICE OF ACCOUNTANT GENERAL, ONDO STATE</w:t>
      </w:r>
    </w:p>
    <w:p w:rsidR="00DC24F2" w:rsidRDefault="00DC24F2" w:rsidP="00DC24F2">
      <w:pPr>
        <w:pStyle w:val="NoSpacing"/>
        <w:spacing w:line="480" w:lineRule="auto"/>
        <w:ind w:firstLine="720"/>
        <w:jc w:val="both"/>
        <w:rPr>
          <w:rFonts w:ascii="Tahoma" w:hAnsi="Tahoma" w:cs="Tahoma"/>
          <w:sz w:val="28"/>
          <w:szCs w:val="24"/>
        </w:rPr>
      </w:pPr>
      <w:r>
        <w:rPr>
          <w:rFonts w:ascii="Tahoma" w:hAnsi="Tahoma" w:cs="Tahoma"/>
          <w:sz w:val="28"/>
          <w:szCs w:val="28"/>
        </w:rPr>
        <w:t>Table 3.3</w:t>
      </w:r>
      <w:r>
        <w:rPr>
          <w:rFonts w:ascii="Tahoma" w:hAnsi="Tahoma" w:cs="Tahoma"/>
          <w:sz w:val="24"/>
          <w:szCs w:val="24"/>
        </w:rPr>
        <w:t xml:space="preserve"> </w:t>
      </w:r>
      <w:r>
        <w:rPr>
          <w:rFonts w:ascii="Tahoma" w:hAnsi="Tahoma" w:cs="Tahoma"/>
          <w:sz w:val="28"/>
          <w:szCs w:val="24"/>
        </w:rPr>
        <w:t xml:space="preserve">shows the personnel cost classifications for the first quarter of the year 2019. In the classifications of Core Civil Service, Adhoc Hospitals’ Management Board (HMB) Staff, Adhoc Ministry of Agriculture Staff, Teaching Service Commission (TESCOM) Public Secondary School and the Judiciary,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actual personnel cost</w:t>
      </w:r>
      <w:r w:rsidRPr="00721306">
        <w:rPr>
          <w:rFonts w:ascii="Tahoma" w:hAnsi="Tahoma" w:cs="Tahoma"/>
          <w:sz w:val="28"/>
          <w:szCs w:val="28"/>
        </w:rPr>
        <w:t xml:space="preserve"> </w:t>
      </w:r>
      <w:r>
        <w:rPr>
          <w:rFonts w:ascii="Tahoma" w:hAnsi="Tahoma" w:cs="Tahoma"/>
          <w:sz w:val="28"/>
          <w:szCs w:val="28"/>
        </w:rPr>
        <w:t xml:space="preserve">for </w:t>
      </w:r>
      <w:r>
        <w:rPr>
          <w:rFonts w:ascii="Tahoma" w:hAnsi="Tahoma" w:cs="Tahoma"/>
          <w:sz w:val="28"/>
          <w:szCs w:val="24"/>
        </w:rPr>
        <w:t>Core Civil Service</w:t>
      </w:r>
      <w:r>
        <w:rPr>
          <w:rFonts w:ascii="Tahoma" w:hAnsi="Tahoma" w:cs="Tahoma"/>
          <w:sz w:val="28"/>
          <w:szCs w:val="28"/>
        </w:rPr>
        <w:t xml:space="preserve"> for the first quarter was </w:t>
      </w:r>
      <w:r w:rsidRPr="00DF613C">
        <w:rPr>
          <w:rFonts w:ascii="Tahoma" w:hAnsi="Tahoma" w:cs="Tahoma"/>
          <w:dstrike/>
          <w:sz w:val="28"/>
          <w:szCs w:val="28"/>
        </w:rPr>
        <w:t>N</w:t>
      </w:r>
      <w:r>
        <w:rPr>
          <w:rFonts w:ascii="Tahoma" w:hAnsi="Tahoma" w:cs="Tahoma"/>
          <w:sz w:val="28"/>
          <w:szCs w:val="28"/>
        </w:rPr>
        <w:t xml:space="preserve">4.426 billion, </w:t>
      </w:r>
      <w:r>
        <w:rPr>
          <w:rFonts w:ascii="Tahoma" w:hAnsi="Tahoma" w:cs="Tahoma"/>
          <w:sz w:val="28"/>
          <w:szCs w:val="24"/>
        </w:rPr>
        <w:t xml:space="preserve">Adhoc HMB Staff </w:t>
      </w:r>
      <w:r w:rsidRPr="00DF613C">
        <w:rPr>
          <w:rFonts w:ascii="Tahoma" w:hAnsi="Tahoma" w:cs="Tahoma"/>
          <w:dstrike/>
          <w:sz w:val="28"/>
          <w:szCs w:val="28"/>
        </w:rPr>
        <w:t>N</w:t>
      </w:r>
      <w:r>
        <w:rPr>
          <w:rFonts w:ascii="Tahoma" w:hAnsi="Tahoma" w:cs="Tahoma"/>
          <w:sz w:val="28"/>
          <w:szCs w:val="28"/>
        </w:rPr>
        <w:t>0.111 billion</w:t>
      </w:r>
      <w:r>
        <w:rPr>
          <w:rFonts w:ascii="Tahoma" w:hAnsi="Tahoma" w:cs="Tahoma"/>
          <w:sz w:val="28"/>
          <w:szCs w:val="24"/>
        </w:rPr>
        <w:t xml:space="preserve">, Adhoc Ministry of Agriculture Staff </w:t>
      </w:r>
      <w:r w:rsidRPr="00DF613C">
        <w:rPr>
          <w:rFonts w:ascii="Tahoma" w:hAnsi="Tahoma" w:cs="Tahoma"/>
          <w:dstrike/>
          <w:sz w:val="28"/>
          <w:szCs w:val="28"/>
        </w:rPr>
        <w:t>N</w:t>
      </w:r>
      <w:r>
        <w:rPr>
          <w:rFonts w:ascii="Tahoma" w:hAnsi="Tahoma" w:cs="Tahoma"/>
          <w:sz w:val="28"/>
          <w:szCs w:val="28"/>
        </w:rPr>
        <w:t>0.002 billion</w:t>
      </w:r>
      <w:r>
        <w:rPr>
          <w:rFonts w:ascii="Tahoma" w:hAnsi="Tahoma" w:cs="Tahoma"/>
          <w:sz w:val="28"/>
          <w:szCs w:val="24"/>
        </w:rPr>
        <w:t xml:space="preserve">, TESCOM Public Secondary School </w:t>
      </w:r>
      <w:r w:rsidRPr="00DF613C">
        <w:rPr>
          <w:rFonts w:ascii="Tahoma" w:hAnsi="Tahoma" w:cs="Tahoma"/>
          <w:dstrike/>
          <w:sz w:val="28"/>
          <w:szCs w:val="28"/>
        </w:rPr>
        <w:t>N</w:t>
      </w:r>
      <w:r>
        <w:rPr>
          <w:rFonts w:ascii="Tahoma" w:hAnsi="Tahoma" w:cs="Tahoma"/>
          <w:sz w:val="28"/>
          <w:szCs w:val="28"/>
        </w:rPr>
        <w:t xml:space="preserve">3.692 billion, </w:t>
      </w:r>
      <w:r>
        <w:rPr>
          <w:rFonts w:ascii="Tahoma" w:hAnsi="Tahoma" w:cs="Tahoma"/>
          <w:sz w:val="28"/>
          <w:szCs w:val="24"/>
        </w:rPr>
        <w:t xml:space="preserve">and </w:t>
      </w:r>
      <w:r w:rsidRPr="00DF613C">
        <w:rPr>
          <w:rFonts w:ascii="Tahoma" w:hAnsi="Tahoma" w:cs="Tahoma"/>
          <w:dstrike/>
          <w:sz w:val="28"/>
          <w:szCs w:val="28"/>
        </w:rPr>
        <w:t>N</w:t>
      </w:r>
      <w:r>
        <w:rPr>
          <w:rFonts w:ascii="Tahoma" w:hAnsi="Tahoma" w:cs="Tahoma"/>
          <w:sz w:val="28"/>
          <w:szCs w:val="28"/>
        </w:rPr>
        <w:t>0.394 billion</w:t>
      </w:r>
      <w:r>
        <w:rPr>
          <w:rFonts w:ascii="Tahoma" w:hAnsi="Tahoma" w:cs="Tahoma"/>
          <w:sz w:val="28"/>
          <w:szCs w:val="24"/>
        </w:rPr>
        <w:t xml:space="preserve"> for the Judiciary.</w:t>
      </w:r>
    </w:p>
    <w:p w:rsidR="00DC24F2" w:rsidRDefault="00DC24F2" w:rsidP="00DC24F2">
      <w:pPr>
        <w:pStyle w:val="NoSpacing"/>
        <w:spacing w:line="480" w:lineRule="auto"/>
        <w:jc w:val="both"/>
        <w:rPr>
          <w:rFonts w:ascii="Tahoma" w:hAnsi="Tahoma" w:cs="Tahoma"/>
          <w:sz w:val="28"/>
          <w:szCs w:val="28"/>
        </w:rPr>
      </w:pPr>
    </w:p>
    <w:p w:rsidR="00DC24F2" w:rsidRDefault="00DC24F2" w:rsidP="00DC24F2">
      <w:pPr>
        <w:pStyle w:val="NoSpacing"/>
        <w:spacing w:line="480" w:lineRule="auto"/>
        <w:jc w:val="both"/>
        <w:rPr>
          <w:rFonts w:ascii="Tahoma" w:hAnsi="Tahoma" w:cs="Tahoma"/>
          <w:sz w:val="28"/>
          <w:szCs w:val="28"/>
        </w:rPr>
      </w:pPr>
    </w:p>
    <w:p w:rsidR="00170EAC" w:rsidRDefault="00170EAC" w:rsidP="00DC24F2">
      <w:pPr>
        <w:pStyle w:val="NoSpacing"/>
        <w:spacing w:line="480" w:lineRule="auto"/>
        <w:jc w:val="both"/>
        <w:rPr>
          <w:rFonts w:ascii="Tahoma" w:hAnsi="Tahoma" w:cs="Tahoma"/>
          <w:sz w:val="28"/>
          <w:szCs w:val="28"/>
        </w:rPr>
      </w:pPr>
    </w:p>
    <w:p w:rsidR="00DC24F2" w:rsidRDefault="00DC24F2" w:rsidP="00DC24F2">
      <w:pPr>
        <w:pStyle w:val="NoSpacing"/>
        <w:spacing w:line="480" w:lineRule="auto"/>
        <w:jc w:val="both"/>
        <w:rPr>
          <w:rFonts w:ascii="Tahoma" w:hAnsi="Tahoma" w:cs="Tahoma"/>
          <w:sz w:val="28"/>
          <w:szCs w:val="28"/>
        </w:rPr>
      </w:pPr>
    </w:p>
    <w:p w:rsidR="00DC24F2" w:rsidRDefault="00DC24F2" w:rsidP="00DC24F2">
      <w:pPr>
        <w:pStyle w:val="NoSpacing"/>
        <w:spacing w:line="480" w:lineRule="auto"/>
        <w:jc w:val="both"/>
        <w:rPr>
          <w:rFonts w:ascii="Tahoma" w:hAnsi="Tahoma" w:cs="Tahoma"/>
          <w:sz w:val="28"/>
          <w:szCs w:val="28"/>
        </w:rPr>
      </w:pPr>
    </w:p>
    <w:p w:rsidR="00DC24F2" w:rsidRPr="00374E50" w:rsidRDefault="00DC24F2" w:rsidP="00DC24F2">
      <w:pPr>
        <w:pStyle w:val="NoSpacing"/>
        <w:spacing w:line="480" w:lineRule="auto"/>
        <w:jc w:val="both"/>
        <w:rPr>
          <w:rFonts w:ascii="Tahoma" w:hAnsi="Tahoma" w:cs="Tahoma"/>
          <w:sz w:val="28"/>
          <w:szCs w:val="28"/>
        </w:rPr>
      </w:pPr>
    </w:p>
    <w:p w:rsidR="00DC24F2" w:rsidRPr="0088169A" w:rsidRDefault="00DC24F2" w:rsidP="00DC24F2">
      <w:pPr>
        <w:pStyle w:val="NoSpacing"/>
        <w:numPr>
          <w:ilvl w:val="2"/>
          <w:numId w:val="2"/>
        </w:numPr>
        <w:spacing w:line="480" w:lineRule="auto"/>
        <w:jc w:val="both"/>
        <w:rPr>
          <w:rFonts w:ascii="Tahoma" w:hAnsi="Tahoma" w:cs="Tahoma"/>
          <w:sz w:val="28"/>
          <w:szCs w:val="28"/>
        </w:rPr>
      </w:pPr>
      <w:r w:rsidRPr="0088169A">
        <w:rPr>
          <w:rFonts w:ascii="Tahoma" w:hAnsi="Tahoma" w:cs="Tahoma"/>
          <w:b/>
          <w:sz w:val="28"/>
          <w:szCs w:val="28"/>
        </w:rPr>
        <w:lastRenderedPageBreak/>
        <w:t>OVERHEAD COST</w:t>
      </w:r>
    </w:p>
    <w:p w:rsidR="00DC24F2" w:rsidRDefault="00DC24F2" w:rsidP="00DC24F2">
      <w:pPr>
        <w:spacing w:line="480" w:lineRule="auto"/>
        <w:ind w:firstLine="720"/>
        <w:jc w:val="both"/>
        <w:rPr>
          <w:rFonts w:ascii="Tahoma" w:hAnsi="Tahoma" w:cs="Tahoma"/>
          <w:sz w:val="28"/>
          <w:szCs w:val="28"/>
        </w:rPr>
      </w:pPr>
      <w:r>
        <w:rPr>
          <w:rFonts w:ascii="Tahoma" w:hAnsi="Tahoma" w:cs="Tahoma"/>
          <w:sz w:val="28"/>
          <w:szCs w:val="28"/>
        </w:rPr>
        <w:t xml:space="preserve">Figure 3.7 compares the quarter estimates for overhead cost with the first quarter actual. With proposed estimates of </w:t>
      </w:r>
      <w:r w:rsidRPr="00DF613C">
        <w:rPr>
          <w:rFonts w:ascii="Tahoma" w:hAnsi="Tahoma" w:cs="Tahoma"/>
          <w:dstrike/>
          <w:sz w:val="28"/>
          <w:szCs w:val="28"/>
        </w:rPr>
        <w:t>N</w:t>
      </w:r>
      <w:r>
        <w:rPr>
          <w:rFonts w:ascii="Tahoma" w:hAnsi="Tahoma" w:cs="Tahoma"/>
          <w:sz w:val="28"/>
          <w:szCs w:val="28"/>
        </w:rPr>
        <w:t xml:space="preserve">1.128 billion, actual overhead cost for the quarter was </w:t>
      </w:r>
      <w:r w:rsidRPr="00DF613C">
        <w:rPr>
          <w:rFonts w:ascii="Tahoma" w:hAnsi="Tahoma" w:cs="Tahoma"/>
          <w:dstrike/>
          <w:sz w:val="28"/>
          <w:szCs w:val="28"/>
        </w:rPr>
        <w:t>N</w:t>
      </w:r>
      <w:r>
        <w:rPr>
          <w:rFonts w:ascii="Tahoma" w:hAnsi="Tahoma" w:cs="Tahoma"/>
          <w:sz w:val="28"/>
          <w:szCs w:val="28"/>
        </w:rPr>
        <w:t xml:space="preserve">0.744 billion, representing 66.0% performance level for the quarter while the corresponding 2018 first quarter actual of </w:t>
      </w:r>
      <w:r w:rsidRPr="00DF613C">
        <w:rPr>
          <w:rFonts w:ascii="Tahoma" w:hAnsi="Tahoma" w:cs="Tahoma"/>
          <w:dstrike/>
          <w:sz w:val="28"/>
          <w:szCs w:val="28"/>
        </w:rPr>
        <w:t>N</w:t>
      </w:r>
      <w:r>
        <w:rPr>
          <w:rFonts w:ascii="Tahoma" w:hAnsi="Tahoma" w:cs="Tahoma"/>
          <w:sz w:val="28"/>
          <w:szCs w:val="28"/>
        </w:rPr>
        <w:t>0.781 billion recorded a performance of 69.4%.</w:t>
      </w:r>
    </w:p>
    <w:p w:rsidR="00DC24F2" w:rsidRPr="00CA7A96" w:rsidRDefault="00DC24F2" w:rsidP="00DC24F2">
      <w:pPr>
        <w:pStyle w:val="NoSpacing"/>
        <w:spacing w:line="360" w:lineRule="auto"/>
        <w:rPr>
          <w:rFonts w:ascii="Tahoma" w:hAnsi="Tahoma" w:cs="Tahoma"/>
          <w:b/>
          <w:sz w:val="28"/>
          <w:szCs w:val="28"/>
        </w:rPr>
      </w:pPr>
      <w:r>
        <w:rPr>
          <w:noProof/>
          <w:lang w:val="cy-GB" w:eastAsia="cy-GB"/>
        </w:rPr>
        <w:drawing>
          <wp:anchor distT="0" distB="0" distL="114300" distR="114300" simplePos="0" relativeHeight="251659264" behindDoc="0" locked="0" layoutInCell="1" allowOverlap="1" wp14:anchorId="3B5AEE63" wp14:editId="2A7812B3">
            <wp:simplePos x="0" y="0"/>
            <wp:positionH relativeFrom="column">
              <wp:posOffset>0</wp:posOffset>
            </wp:positionH>
            <wp:positionV relativeFrom="paragraph">
              <wp:posOffset>326390</wp:posOffset>
            </wp:positionV>
            <wp:extent cx="5695950" cy="4210050"/>
            <wp:effectExtent l="0" t="0" r="0" b="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r>
        <w:rPr>
          <w:rFonts w:ascii="Tahoma" w:hAnsi="Tahoma" w:cs="Tahoma"/>
          <w:b/>
          <w:sz w:val="28"/>
          <w:szCs w:val="28"/>
        </w:rPr>
        <w:t>Figure 3.7</w:t>
      </w:r>
      <w:r w:rsidRPr="00240E83">
        <w:rPr>
          <w:rFonts w:ascii="Tahoma" w:hAnsi="Tahoma" w:cs="Tahoma"/>
          <w:b/>
          <w:sz w:val="28"/>
          <w:szCs w:val="28"/>
        </w:rPr>
        <w:t xml:space="preserve">: Bar Chart </w:t>
      </w:r>
      <w:r>
        <w:rPr>
          <w:rFonts w:ascii="Tahoma" w:hAnsi="Tahoma" w:cs="Tahoma"/>
          <w:b/>
          <w:sz w:val="28"/>
          <w:szCs w:val="28"/>
        </w:rPr>
        <w:t>Showing First Quarter Overhead Cost</w:t>
      </w:r>
    </w:p>
    <w:p w:rsidR="00DC24F2" w:rsidRDefault="00DC24F2" w:rsidP="00DC24F2">
      <w:pPr>
        <w:pStyle w:val="NoSpacing"/>
        <w:spacing w:line="480" w:lineRule="auto"/>
        <w:jc w:val="both"/>
        <w:rPr>
          <w:rFonts w:ascii="Tahoma" w:hAnsi="Tahoma" w:cs="Tahoma"/>
          <w:sz w:val="28"/>
          <w:szCs w:val="28"/>
        </w:rPr>
      </w:pPr>
    </w:p>
    <w:p w:rsidR="00DC24F2" w:rsidRDefault="00DC24F2" w:rsidP="00DC24F2">
      <w:pPr>
        <w:pStyle w:val="NoSpacing"/>
        <w:spacing w:line="480" w:lineRule="auto"/>
        <w:jc w:val="both"/>
        <w:rPr>
          <w:rFonts w:ascii="Tahoma" w:hAnsi="Tahoma" w:cs="Tahoma"/>
          <w:sz w:val="28"/>
          <w:szCs w:val="28"/>
        </w:rPr>
      </w:pPr>
    </w:p>
    <w:p w:rsidR="00DC24F2" w:rsidRDefault="00DC24F2" w:rsidP="00DC24F2">
      <w:pPr>
        <w:pStyle w:val="NoSpacing"/>
        <w:spacing w:line="480" w:lineRule="auto"/>
        <w:jc w:val="both"/>
        <w:rPr>
          <w:rFonts w:ascii="Tahoma" w:hAnsi="Tahoma" w:cs="Tahoma"/>
          <w:sz w:val="28"/>
          <w:szCs w:val="28"/>
        </w:rPr>
      </w:pPr>
    </w:p>
    <w:p w:rsidR="00DC24F2" w:rsidRDefault="00DC24F2" w:rsidP="00DC24F2">
      <w:pPr>
        <w:pStyle w:val="NoSpacing"/>
        <w:spacing w:line="480" w:lineRule="auto"/>
        <w:jc w:val="both"/>
        <w:rPr>
          <w:rFonts w:ascii="Tahoma" w:hAnsi="Tahoma" w:cs="Tahoma"/>
          <w:sz w:val="28"/>
          <w:szCs w:val="28"/>
        </w:rPr>
      </w:pPr>
    </w:p>
    <w:p w:rsidR="00DC24F2" w:rsidRPr="00056420" w:rsidRDefault="00DC24F2" w:rsidP="00DC24F2">
      <w:pPr>
        <w:pStyle w:val="ListParagraph"/>
        <w:numPr>
          <w:ilvl w:val="2"/>
          <w:numId w:val="2"/>
        </w:numPr>
        <w:spacing w:after="0" w:line="480" w:lineRule="auto"/>
        <w:jc w:val="both"/>
        <w:rPr>
          <w:rFonts w:ascii="Tahoma" w:hAnsi="Tahoma" w:cs="Tahoma"/>
          <w:b/>
          <w:sz w:val="28"/>
          <w:szCs w:val="24"/>
        </w:rPr>
      </w:pPr>
      <w:r w:rsidRPr="00056420">
        <w:rPr>
          <w:rFonts w:ascii="Tahoma" w:hAnsi="Tahoma" w:cs="Tahoma"/>
          <w:b/>
          <w:sz w:val="28"/>
          <w:szCs w:val="24"/>
        </w:rPr>
        <w:lastRenderedPageBreak/>
        <w:t>SPECIAL PROGRAMMES</w:t>
      </w:r>
    </w:p>
    <w:p w:rsidR="00DC24F2" w:rsidRDefault="00DC24F2" w:rsidP="00DC24F2">
      <w:pPr>
        <w:spacing w:line="480" w:lineRule="auto"/>
        <w:ind w:firstLine="720"/>
        <w:jc w:val="both"/>
        <w:rPr>
          <w:rFonts w:ascii="Tahoma" w:hAnsi="Tahoma" w:cs="Tahoma"/>
          <w:sz w:val="28"/>
          <w:szCs w:val="28"/>
        </w:rPr>
      </w:pPr>
      <w:r>
        <w:rPr>
          <w:rFonts w:ascii="Tahoma" w:hAnsi="Tahoma" w:cs="Tahoma"/>
          <w:sz w:val="28"/>
          <w:szCs w:val="24"/>
        </w:rPr>
        <w:t xml:space="preserve">The quarter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4.314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2019 first quarter, the </w:t>
      </w:r>
      <w:r w:rsidRPr="00056420">
        <w:rPr>
          <w:rFonts w:ascii="Tahoma" w:hAnsi="Tahoma" w:cs="Tahoma"/>
          <w:sz w:val="28"/>
          <w:szCs w:val="24"/>
        </w:rPr>
        <w:t>actual 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3.019 billion, representing  70.0% performance level </w:t>
      </w:r>
      <w:r>
        <w:rPr>
          <w:rFonts w:ascii="Tahoma" w:hAnsi="Tahoma" w:cs="Tahoma"/>
          <w:sz w:val="28"/>
          <w:szCs w:val="28"/>
        </w:rPr>
        <w:t xml:space="preserve">while the corresponding 2018 first quarter actual of </w:t>
      </w:r>
      <w:r w:rsidRPr="00DF613C">
        <w:rPr>
          <w:rFonts w:ascii="Tahoma" w:hAnsi="Tahoma" w:cs="Tahoma"/>
          <w:dstrike/>
          <w:sz w:val="28"/>
          <w:szCs w:val="28"/>
        </w:rPr>
        <w:t>N</w:t>
      </w:r>
      <w:r>
        <w:rPr>
          <w:rFonts w:ascii="Tahoma" w:hAnsi="Tahoma" w:cs="Tahoma"/>
          <w:sz w:val="28"/>
          <w:szCs w:val="28"/>
        </w:rPr>
        <w:t>2.036 billion recorded a performance of 48.7%.</w:t>
      </w:r>
      <w:r>
        <w:rPr>
          <w:rFonts w:ascii="Tahoma" w:hAnsi="Tahoma" w:cs="Tahoma"/>
          <w:sz w:val="28"/>
          <w:szCs w:val="24"/>
        </w:rPr>
        <w:t xml:space="preserve"> </w:t>
      </w:r>
    </w:p>
    <w:p w:rsidR="00DC24F2" w:rsidRPr="00BC0D8D" w:rsidRDefault="00DC24F2" w:rsidP="00DC24F2">
      <w:pPr>
        <w:pStyle w:val="NoSpacing"/>
        <w:spacing w:line="360" w:lineRule="auto"/>
        <w:rPr>
          <w:rFonts w:ascii="Tahoma" w:hAnsi="Tahoma" w:cs="Tahoma"/>
          <w:b/>
          <w:sz w:val="28"/>
          <w:szCs w:val="28"/>
        </w:rPr>
      </w:pPr>
      <w:r>
        <w:rPr>
          <w:rFonts w:ascii="Tahoma" w:hAnsi="Tahoma" w:cs="Tahoma"/>
          <w:b/>
          <w:sz w:val="28"/>
          <w:szCs w:val="28"/>
        </w:rPr>
        <w:t>Figure 3.8</w:t>
      </w:r>
      <w:r w:rsidRPr="00240E83">
        <w:rPr>
          <w:rFonts w:ascii="Tahoma" w:hAnsi="Tahoma" w:cs="Tahoma"/>
          <w:b/>
          <w:sz w:val="28"/>
          <w:szCs w:val="28"/>
        </w:rPr>
        <w:t xml:space="preserve">: Bar Chart </w:t>
      </w:r>
      <w:r>
        <w:rPr>
          <w:rFonts w:ascii="Tahoma" w:hAnsi="Tahoma" w:cs="Tahoma"/>
          <w:b/>
          <w:sz w:val="28"/>
          <w:szCs w:val="28"/>
        </w:rPr>
        <w:t>Showing First Quarter Special Programme.</w:t>
      </w:r>
    </w:p>
    <w:p w:rsidR="00DC24F2" w:rsidRDefault="00DC24F2" w:rsidP="00DC24F2">
      <w:pPr>
        <w:spacing w:line="480" w:lineRule="auto"/>
        <w:jc w:val="both"/>
        <w:rPr>
          <w:rFonts w:ascii="Tahoma" w:hAnsi="Tahoma" w:cs="Tahoma"/>
          <w:sz w:val="28"/>
          <w:szCs w:val="24"/>
        </w:rPr>
      </w:pPr>
      <w:r>
        <w:rPr>
          <w:noProof/>
          <w:lang w:eastAsia="cy-GB"/>
        </w:rPr>
        <w:drawing>
          <wp:inline distT="0" distB="0" distL="0" distR="0" wp14:anchorId="5B72227C" wp14:editId="44A1D77F">
            <wp:extent cx="5791200" cy="39528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C24F2" w:rsidRPr="00935670" w:rsidRDefault="00DC24F2" w:rsidP="00DC24F2">
      <w:pPr>
        <w:pStyle w:val="ListParagraph"/>
        <w:numPr>
          <w:ilvl w:val="2"/>
          <w:numId w:val="2"/>
        </w:numPr>
        <w:jc w:val="both"/>
        <w:rPr>
          <w:rFonts w:ascii="Tahoma" w:hAnsi="Tahoma" w:cs="Tahoma"/>
          <w:sz w:val="28"/>
          <w:szCs w:val="28"/>
        </w:rPr>
      </w:pPr>
      <w:r w:rsidRPr="00935670">
        <w:rPr>
          <w:rFonts w:ascii="Tahoma" w:hAnsi="Tahoma" w:cs="Tahoma"/>
          <w:b/>
          <w:sz w:val="28"/>
          <w:szCs w:val="28"/>
        </w:rPr>
        <w:t>SUBVENTIONS/GRANTS TO INSTITUTIONS AND AGENCIES</w:t>
      </w:r>
    </w:p>
    <w:p w:rsidR="00DC24F2" w:rsidRPr="004C61A8" w:rsidRDefault="00DC24F2" w:rsidP="00DC24F2">
      <w:pPr>
        <w:spacing w:line="480" w:lineRule="auto"/>
        <w:ind w:firstLine="720"/>
        <w:jc w:val="both"/>
        <w:rPr>
          <w:rFonts w:ascii="Tahoma" w:hAnsi="Tahoma" w:cs="Tahoma"/>
          <w:sz w:val="28"/>
          <w:szCs w:val="28"/>
        </w:rPr>
      </w:pPr>
      <w:r>
        <w:rPr>
          <w:rFonts w:ascii="Tahoma" w:hAnsi="Tahoma" w:cs="Tahoma"/>
          <w:sz w:val="28"/>
          <w:szCs w:val="28"/>
        </w:rPr>
        <w:t xml:space="preserve">     Table 3.4 shows the 2019 first quarter performance of Subventions/Grants to Institutions and Agencies. </w:t>
      </w:r>
      <w:r>
        <w:rPr>
          <w:rFonts w:ascii="Tahoma" w:hAnsi="Tahoma" w:cs="Tahoma"/>
          <w:sz w:val="28"/>
          <w:szCs w:val="24"/>
        </w:rPr>
        <w:t xml:space="preserve">The quarter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1.890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quarter, the </w:t>
      </w:r>
      <w:r w:rsidRPr="00056420">
        <w:rPr>
          <w:rFonts w:ascii="Tahoma" w:hAnsi="Tahoma" w:cs="Tahoma"/>
          <w:sz w:val="28"/>
          <w:szCs w:val="24"/>
        </w:rPr>
        <w:t xml:space="preserve">actual </w:t>
      </w:r>
      <w:r w:rsidRPr="00056420">
        <w:rPr>
          <w:rFonts w:ascii="Tahoma" w:hAnsi="Tahoma" w:cs="Tahoma"/>
          <w:sz w:val="28"/>
          <w:szCs w:val="24"/>
        </w:rPr>
        <w:lastRenderedPageBreak/>
        <w:t>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1.449 billion, representing 76.7% performance level for the quarter </w:t>
      </w:r>
      <w:r>
        <w:rPr>
          <w:rFonts w:ascii="Tahoma" w:hAnsi="Tahoma" w:cs="Tahoma"/>
          <w:sz w:val="28"/>
          <w:szCs w:val="28"/>
        </w:rPr>
        <w:t xml:space="preserve">while the corresponding 2018 first quarter actual of </w:t>
      </w:r>
      <w:r w:rsidRPr="00DF613C">
        <w:rPr>
          <w:rFonts w:ascii="Tahoma" w:hAnsi="Tahoma" w:cs="Tahoma"/>
          <w:dstrike/>
          <w:sz w:val="28"/>
          <w:szCs w:val="28"/>
        </w:rPr>
        <w:t>N</w:t>
      </w:r>
      <w:r>
        <w:rPr>
          <w:rFonts w:ascii="Tahoma" w:hAnsi="Tahoma" w:cs="Tahoma"/>
          <w:sz w:val="28"/>
          <w:szCs w:val="28"/>
        </w:rPr>
        <w:t>0.919 billion recorded a performance of 40.9%</w:t>
      </w:r>
      <w:r>
        <w:rPr>
          <w:rFonts w:ascii="Tahoma" w:hAnsi="Tahoma" w:cs="Tahoma"/>
          <w:sz w:val="28"/>
          <w:szCs w:val="24"/>
        </w:rPr>
        <w:t xml:space="preserve">. </w:t>
      </w:r>
    </w:p>
    <w:p w:rsidR="00DC24F2" w:rsidRPr="00EB273D" w:rsidRDefault="00DC24F2" w:rsidP="00DC24F2">
      <w:pPr>
        <w:pStyle w:val="NoSpacing"/>
        <w:spacing w:line="276" w:lineRule="auto"/>
        <w:ind w:left="1418" w:hanging="1418"/>
        <w:rPr>
          <w:rFonts w:ascii="Tahoma" w:hAnsi="Tahoma" w:cs="Tahoma"/>
          <w:sz w:val="24"/>
          <w:szCs w:val="24"/>
        </w:rPr>
      </w:pPr>
      <w:r>
        <w:rPr>
          <w:rFonts w:ascii="Tahoma" w:hAnsi="Tahoma" w:cs="Tahoma"/>
          <w:b/>
          <w:sz w:val="28"/>
          <w:szCs w:val="24"/>
        </w:rPr>
        <w:t>Table 3.4</w:t>
      </w:r>
      <w:r w:rsidRPr="00C2333E">
        <w:rPr>
          <w:rFonts w:ascii="Tahoma" w:hAnsi="Tahoma" w:cs="Tahoma"/>
          <w:b/>
          <w:sz w:val="28"/>
          <w:szCs w:val="24"/>
        </w:rPr>
        <w:t xml:space="preserve">: </w:t>
      </w:r>
      <w:r>
        <w:rPr>
          <w:rFonts w:ascii="Tahoma" w:hAnsi="Tahoma" w:cs="Tahoma"/>
          <w:b/>
          <w:sz w:val="28"/>
          <w:szCs w:val="24"/>
        </w:rPr>
        <w:t xml:space="preserve">Summary of First Quarter </w:t>
      </w:r>
      <w:r w:rsidRPr="00C2333E">
        <w:rPr>
          <w:rFonts w:ascii="Tahoma" w:hAnsi="Tahoma" w:cs="Tahoma"/>
          <w:b/>
          <w:sz w:val="28"/>
          <w:szCs w:val="24"/>
        </w:rPr>
        <w:t>Subvention/</w:t>
      </w:r>
      <w:r w:rsidRPr="00C2333E">
        <w:rPr>
          <w:rFonts w:ascii="Tahoma" w:hAnsi="Tahoma" w:cs="Tahoma"/>
          <w:b/>
          <w:sz w:val="28"/>
          <w:szCs w:val="28"/>
        </w:rPr>
        <w:t>Grants to</w:t>
      </w:r>
      <w:r>
        <w:rPr>
          <w:rFonts w:ascii="Tahoma" w:hAnsi="Tahoma" w:cs="Tahoma"/>
          <w:b/>
          <w:sz w:val="28"/>
          <w:szCs w:val="28"/>
        </w:rPr>
        <w:t xml:space="preserve"> P</w:t>
      </w:r>
      <w:r w:rsidRPr="00C2333E">
        <w:rPr>
          <w:rFonts w:ascii="Tahoma" w:hAnsi="Tahoma" w:cs="Tahoma"/>
          <w:b/>
          <w:sz w:val="28"/>
          <w:szCs w:val="28"/>
        </w:rPr>
        <w:t>arastatals</w:t>
      </w:r>
    </w:p>
    <w:tbl>
      <w:tblPr>
        <w:tblStyle w:val="GridTable5Dark-Accent6"/>
        <w:tblW w:w="9548" w:type="dxa"/>
        <w:tblLook w:val="04A0" w:firstRow="1" w:lastRow="0" w:firstColumn="1" w:lastColumn="0" w:noHBand="0" w:noVBand="1"/>
      </w:tblPr>
      <w:tblGrid>
        <w:gridCol w:w="515"/>
        <w:gridCol w:w="2906"/>
        <w:gridCol w:w="1641"/>
        <w:gridCol w:w="1641"/>
        <w:gridCol w:w="1641"/>
        <w:gridCol w:w="1479"/>
      </w:tblGrid>
      <w:tr w:rsidR="00DC24F2" w:rsidRPr="00A4425B" w:rsidTr="00DC24F2">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rPr>
                <w:rFonts w:ascii="Calibri" w:eastAsia="Times New Roman" w:hAnsi="Calibri" w:cs="Times New Roman"/>
                <w:b w:val="0"/>
                <w:bCs w:val="0"/>
                <w:color w:val="000000"/>
                <w:sz w:val="20"/>
                <w:szCs w:val="20"/>
                <w:lang w:eastAsia="cy-GB"/>
              </w:rPr>
            </w:pPr>
            <w:bookmarkStart w:id="1" w:name="RANGE!A57:E72"/>
            <w:r w:rsidRPr="00A4425B">
              <w:rPr>
                <w:rFonts w:ascii="Calibri" w:eastAsia="Times New Roman" w:hAnsi="Calibri" w:cs="Times New Roman"/>
                <w:b w:val="0"/>
                <w:bCs w:val="0"/>
                <w:color w:val="000000"/>
                <w:sz w:val="20"/>
                <w:szCs w:val="20"/>
                <w:lang w:eastAsia="cy-GB"/>
              </w:rPr>
              <w:t>S/N</w:t>
            </w:r>
            <w:bookmarkEnd w:id="1"/>
          </w:p>
        </w:tc>
        <w:tc>
          <w:tcPr>
            <w:tcW w:w="2906" w:type="dxa"/>
            <w:noWrap/>
            <w:hideMark/>
          </w:tcPr>
          <w:p w:rsidR="00DC24F2" w:rsidRPr="00A4425B" w:rsidRDefault="00DC24F2" w:rsidP="00DC24F2">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A4425B">
              <w:rPr>
                <w:rFonts w:ascii="Calibri" w:eastAsia="Times New Roman" w:hAnsi="Calibri" w:cs="Times New Roman"/>
                <w:b w:val="0"/>
                <w:bCs w:val="0"/>
                <w:color w:val="000000"/>
                <w:sz w:val="20"/>
                <w:szCs w:val="20"/>
                <w:lang w:eastAsia="cy-GB"/>
              </w:rPr>
              <w:t> </w:t>
            </w:r>
            <w:r>
              <w:rPr>
                <w:rFonts w:ascii="Calibri" w:eastAsia="Times New Roman" w:hAnsi="Calibri" w:cs="Times New Roman"/>
                <w:b w:val="0"/>
                <w:bCs w:val="0"/>
                <w:color w:val="000000"/>
                <w:sz w:val="20"/>
                <w:szCs w:val="20"/>
                <w:lang w:eastAsia="cy-GB"/>
              </w:rPr>
              <w:t>INSTITUTIONS</w:t>
            </w:r>
          </w:p>
        </w:tc>
        <w:tc>
          <w:tcPr>
            <w:tcW w:w="1567" w:type="dxa"/>
            <w:hideMark/>
          </w:tcPr>
          <w:p w:rsidR="00DC24F2" w:rsidRPr="00A4425B"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A4425B">
              <w:rPr>
                <w:rFonts w:ascii="Calibri" w:eastAsia="Times New Roman" w:hAnsi="Calibri" w:cs="Times New Roman"/>
                <w:b w:val="0"/>
                <w:bCs w:val="0"/>
                <w:color w:val="000000"/>
                <w:sz w:val="20"/>
                <w:szCs w:val="20"/>
                <w:lang w:eastAsia="cy-GB"/>
              </w:rPr>
              <w:t>APPROVED BUDGET</w:t>
            </w:r>
          </w:p>
        </w:tc>
        <w:tc>
          <w:tcPr>
            <w:tcW w:w="1567" w:type="dxa"/>
            <w:hideMark/>
          </w:tcPr>
          <w:p w:rsidR="00DC24F2" w:rsidRPr="00A4425B"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A4425B">
              <w:rPr>
                <w:rFonts w:ascii="Calibri" w:eastAsia="Times New Roman" w:hAnsi="Calibri" w:cs="Times New Roman"/>
                <w:b w:val="0"/>
                <w:bCs w:val="0"/>
                <w:color w:val="000000"/>
                <w:sz w:val="20"/>
                <w:szCs w:val="20"/>
                <w:lang w:eastAsia="cy-GB"/>
              </w:rPr>
              <w:t>FIRST QUARTER ESTIMATES</w:t>
            </w:r>
          </w:p>
        </w:tc>
        <w:tc>
          <w:tcPr>
            <w:tcW w:w="1567" w:type="dxa"/>
            <w:hideMark/>
          </w:tcPr>
          <w:p w:rsidR="00DC24F2" w:rsidRPr="00A4425B"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A4425B">
              <w:rPr>
                <w:rFonts w:ascii="Calibri" w:eastAsia="Times New Roman" w:hAnsi="Calibri" w:cs="Times New Roman"/>
                <w:b w:val="0"/>
                <w:bCs w:val="0"/>
                <w:color w:val="000000"/>
                <w:sz w:val="20"/>
                <w:szCs w:val="20"/>
                <w:lang w:eastAsia="cy-GB"/>
              </w:rPr>
              <w:t xml:space="preserve"> FIRST QUARTER ACTUAL </w:t>
            </w:r>
          </w:p>
        </w:tc>
        <w:tc>
          <w:tcPr>
            <w:tcW w:w="1436" w:type="dxa"/>
            <w:hideMark/>
          </w:tcPr>
          <w:p w:rsidR="00DC24F2" w:rsidRPr="00A4425B"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A4425B">
              <w:rPr>
                <w:rFonts w:ascii="Calibri" w:eastAsia="Times New Roman" w:hAnsi="Calibri" w:cs="Times New Roman"/>
                <w:b w:val="0"/>
                <w:bCs w:val="0"/>
                <w:color w:val="000000"/>
                <w:sz w:val="20"/>
                <w:szCs w:val="20"/>
                <w:lang w:eastAsia="cy-GB"/>
              </w:rPr>
              <w:t>PERFORMANCE LEVEL (%)</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w:t>
            </w:r>
          </w:p>
        </w:tc>
        <w:tc>
          <w:tcPr>
            <w:tcW w:w="2906" w:type="dxa"/>
            <w:noWrap/>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Adekunle Ajasin University, Akungba Akoko</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1,902,000,000.00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475,500,000.00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446,250,000.00 </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93.8</w:t>
            </w:r>
          </w:p>
        </w:tc>
      </w:tr>
      <w:tr w:rsidR="00DC24F2" w:rsidRPr="00A4425B" w:rsidTr="00DC24F2">
        <w:trPr>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2</w:t>
            </w:r>
          </w:p>
        </w:tc>
        <w:tc>
          <w:tcPr>
            <w:tcW w:w="2906" w:type="dxa"/>
            <w:noWrap/>
            <w:hideMark/>
          </w:tcPr>
          <w:p w:rsidR="00DC24F2" w:rsidRPr="00A4425B"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Nigeria Security and Civil Defence Corps</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2,000,000.00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500,000.00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348,600.00 </w:t>
            </w:r>
          </w:p>
        </w:tc>
        <w:tc>
          <w:tcPr>
            <w:tcW w:w="1436"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69.7</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3</w:t>
            </w:r>
          </w:p>
        </w:tc>
        <w:tc>
          <w:tcPr>
            <w:tcW w:w="2906" w:type="dxa"/>
            <w:noWrap/>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Nigerian Legion</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3,000,000.00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750,000.00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630,000.00 </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84.0</w:t>
            </w:r>
          </w:p>
        </w:tc>
      </w:tr>
      <w:tr w:rsidR="00DC24F2" w:rsidRPr="00A4425B" w:rsidTr="00DC24F2">
        <w:trPr>
          <w:trHeight w:val="1048"/>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4</w:t>
            </w:r>
          </w:p>
        </w:tc>
        <w:tc>
          <w:tcPr>
            <w:tcW w:w="2906" w:type="dxa"/>
            <w:hideMark/>
          </w:tcPr>
          <w:p w:rsidR="00DC24F2" w:rsidRPr="00A4425B"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Agency for Road Maintenance and Construction (OSAMCO)</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50,000,000.00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12,500,000.00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6,999,300.00 </w:t>
            </w:r>
          </w:p>
        </w:tc>
        <w:tc>
          <w:tcPr>
            <w:tcW w:w="1436"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56.0</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5</w:t>
            </w:r>
          </w:p>
        </w:tc>
        <w:tc>
          <w:tcPr>
            <w:tcW w:w="2906" w:type="dxa"/>
            <w:noWrap/>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Football Academy</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60,000,000.00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15,000,000.00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   </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0.0</w:t>
            </w:r>
          </w:p>
        </w:tc>
      </w:tr>
      <w:tr w:rsidR="00DC24F2" w:rsidRPr="00A4425B" w:rsidTr="00DC24F2">
        <w:trPr>
          <w:trHeight w:val="69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w:t>
            </w:r>
          </w:p>
        </w:tc>
        <w:tc>
          <w:tcPr>
            <w:tcW w:w="2906" w:type="dxa"/>
            <w:hideMark/>
          </w:tcPr>
          <w:p w:rsidR="00DC24F2" w:rsidRPr="00A4425B"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Football Development Agency</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650,000,000.00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162,500,000.00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135,000,000.00 </w:t>
            </w:r>
          </w:p>
        </w:tc>
        <w:tc>
          <w:tcPr>
            <w:tcW w:w="1436"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83.1</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7</w:t>
            </w:r>
          </w:p>
        </w:tc>
        <w:tc>
          <w:tcPr>
            <w:tcW w:w="2906" w:type="dxa"/>
            <w:noWrap/>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University of Medical Sciences</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722,000,000.00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180,500,000.00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135,000,000.00 </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74.8</w:t>
            </w:r>
          </w:p>
        </w:tc>
      </w:tr>
      <w:tr w:rsidR="00DC24F2" w:rsidRPr="00A4425B" w:rsidTr="00DC24F2">
        <w:trPr>
          <w:trHeight w:val="69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8</w:t>
            </w:r>
          </w:p>
        </w:tc>
        <w:tc>
          <w:tcPr>
            <w:tcW w:w="2906" w:type="dxa"/>
            <w:hideMark/>
          </w:tcPr>
          <w:p w:rsidR="00DC24F2" w:rsidRPr="00A4425B"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University of Science and Technology, Okitipupa</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800,000,000.00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200,000,000.00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126,000,000.00 </w:t>
            </w:r>
          </w:p>
        </w:tc>
        <w:tc>
          <w:tcPr>
            <w:tcW w:w="1436"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63.0</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9</w:t>
            </w:r>
          </w:p>
        </w:tc>
        <w:tc>
          <w:tcPr>
            <w:tcW w:w="2906" w:type="dxa"/>
            <w:noWrap/>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Rufus Giwa Polytechnic, Owo</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2,700,000,000.00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675,000,000.00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598,539,000.00 </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88.7</w:t>
            </w:r>
          </w:p>
        </w:tc>
      </w:tr>
      <w:tr w:rsidR="00DC24F2" w:rsidRPr="00A4425B" w:rsidTr="00DC24F2">
        <w:trPr>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10</w:t>
            </w:r>
          </w:p>
        </w:tc>
        <w:tc>
          <w:tcPr>
            <w:tcW w:w="2906" w:type="dxa"/>
            <w:noWrap/>
            <w:hideMark/>
          </w:tcPr>
          <w:p w:rsidR="00DC24F2" w:rsidRPr="00A4425B"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Senior Staff Club</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2,500,000.00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625,000.00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525,000.00 </w:t>
            </w:r>
          </w:p>
        </w:tc>
        <w:tc>
          <w:tcPr>
            <w:tcW w:w="1436"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84.0</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11</w:t>
            </w:r>
          </w:p>
        </w:tc>
        <w:tc>
          <w:tcPr>
            <w:tcW w:w="2906" w:type="dxa"/>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Investment  Promotion Agency (ONDIPA)</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200,000,000.00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50,000,000.00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   </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0.0</w:t>
            </w:r>
          </w:p>
        </w:tc>
      </w:tr>
      <w:tr w:rsidR="00DC24F2" w:rsidRPr="00A4425B" w:rsidTr="00DC24F2">
        <w:trPr>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12</w:t>
            </w:r>
          </w:p>
        </w:tc>
        <w:tc>
          <w:tcPr>
            <w:tcW w:w="2906" w:type="dxa"/>
            <w:noWrap/>
            <w:hideMark/>
          </w:tcPr>
          <w:p w:rsidR="00DC24F2" w:rsidRPr="00A4425B"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Radiovision Corporation</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60,000,000.00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15,000,000.00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   </w:t>
            </w:r>
          </w:p>
        </w:tc>
        <w:tc>
          <w:tcPr>
            <w:tcW w:w="1436"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0.0</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13</w:t>
            </w:r>
          </w:p>
        </w:tc>
        <w:tc>
          <w:tcPr>
            <w:tcW w:w="2906" w:type="dxa"/>
            <w:noWrap/>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Afforestation Project</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10,000,000.00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2,500,000.00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   </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0.0</w:t>
            </w:r>
          </w:p>
        </w:tc>
      </w:tr>
      <w:tr w:rsidR="00DC24F2" w:rsidRPr="00A4425B" w:rsidTr="00DC24F2">
        <w:trPr>
          <w:trHeight w:val="69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jc w:val="right"/>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14</w:t>
            </w:r>
          </w:p>
        </w:tc>
        <w:tc>
          <w:tcPr>
            <w:tcW w:w="2906" w:type="dxa"/>
            <w:hideMark/>
          </w:tcPr>
          <w:p w:rsidR="00DC24F2" w:rsidRPr="00A4425B"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Ondo State University of Medical Sciences Teaching Hospital</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400,000,000.00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100,000,000.00</w:t>
            </w:r>
          </w:p>
        </w:tc>
        <w:tc>
          <w:tcPr>
            <w:tcW w:w="1567"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xml:space="preserve">                                -   </w:t>
            </w:r>
          </w:p>
        </w:tc>
        <w:tc>
          <w:tcPr>
            <w:tcW w:w="1436" w:type="dxa"/>
            <w:noWrap/>
            <w:hideMark/>
          </w:tcPr>
          <w:p w:rsidR="00DC24F2" w:rsidRPr="00A4425B"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0.0</w:t>
            </w:r>
          </w:p>
        </w:tc>
      </w:tr>
      <w:tr w:rsidR="00DC24F2" w:rsidRPr="00A4425B" w:rsidTr="00DC24F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5" w:type="dxa"/>
            <w:noWrap/>
            <w:hideMark/>
          </w:tcPr>
          <w:p w:rsidR="00DC24F2" w:rsidRPr="00A4425B" w:rsidRDefault="00DC24F2" w:rsidP="00DC24F2">
            <w:pPr>
              <w:spacing w:after="0" w:line="240" w:lineRule="auto"/>
              <w:rPr>
                <w:rFonts w:ascii="Calibri" w:eastAsia="Times New Roman" w:hAnsi="Calibri" w:cs="Times New Roman"/>
                <w:color w:val="000000"/>
                <w:sz w:val="20"/>
                <w:szCs w:val="20"/>
                <w:lang w:eastAsia="cy-GB"/>
              </w:rPr>
            </w:pPr>
            <w:r w:rsidRPr="00A4425B">
              <w:rPr>
                <w:rFonts w:ascii="Calibri" w:eastAsia="Times New Roman" w:hAnsi="Calibri" w:cs="Times New Roman"/>
                <w:color w:val="000000"/>
                <w:sz w:val="20"/>
                <w:szCs w:val="20"/>
                <w:lang w:eastAsia="cy-GB"/>
              </w:rPr>
              <w:t> </w:t>
            </w:r>
          </w:p>
        </w:tc>
        <w:tc>
          <w:tcPr>
            <w:tcW w:w="2906" w:type="dxa"/>
            <w:noWrap/>
            <w:hideMark/>
          </w:tcPr>
          <w:p w:rsidR="00DC24F2" w:rsidRPr="00A4425B"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4425B">
              <w:rPr>
                <w:rFonts w:ascii="Calibri" w:eastAsia="Times New Roman" w:hAnsi="Calibri" w:cs="Times New Roman"/>
                <w:b/>
                <w:bCs/>
                <w:color w:val="000000"/>
                <w:sz w:val="20"/>
                <w:szCs w:val="20"/>
                <w:lang w:eastAsia="cy-GB"/>
              </w:rPr>
              <w:t>TOTAL</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4425B">
              <w:rPr>
                <w:rFonts w:ascii="Calibri" w:eastAsia="Times New Roman" w:hAnsi="Calibri" w:cs="Times New Roman"/>
                <w:b/>
                <w:bCs/>
                <w:color w:val="000000"/>
                <w:sz w:val="20"/>
                <w:szCs w:val="20"/>
                <w:lang w:eastAsia="cy-GB"/>
              </w:rPr>
              <w:t>7,561,500,000.00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4425B">
              <w:rPr>
                <w:rFonts w:ascii="Calibri" w:eastAsia="Times New Roman" w:hAnsi="Calibri" w:cs="Times New Roman"/>
                <w:b/>
                <w:bCs/>
                <w:color w:val="000000"/>
                <w:sz w:val="20"/>
                <w:szCs w:val="20"/>
                <w:lang w:eastAsia="cy-GB"/>
              </w:rPr>
              <w:t>1,890,375,000.00</w:t>
            </w:r>
          </w:p>
        </w:tc>
        <w:tc>
          <w:tcPr>
            <w:tcW w:w="1567"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4425B">
              <w:rPr>
                <w:rFonts w:ascii="Calibri" w:eastAsia="Times New Roman" w:hAnsi="Calibri" w:cs="Times New Roman"/>
                <w:b/>
                <w:bCs/>
                <w:color w:val="000000"/>
                <w:sz w:val="20"/>
                <w:szCs w:val="20"/>
                <w:lang w:eastAsia="cy-GB"/>
              </w:rPr>
              <w:t>1,449,291,900.00</w:t>
            </w:r>
          </w:p>
        </w:tc>
        <w:tc>
          <w:tcPr>
            <w:tcW w:w="1436" w:type="dxa"/>
            <w:noWrap/>
            <w:hideMark/>
          </w:tcPr>
          <w:p w:rsidR="00DC24F2" w:rsidRPr="00A4425B"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4425B">
              <w:rPr>
                <w:rFonts w:ascii="Calibri" w:eastAsia="Times New Roman" w:hAnsi="Calibri" w:cs="Times New Roman"/>
                <w:b/>
                <w:bCs/>
                <w:color w:val="000000"/>
                <w:sz w:val="20"/>
                <w:szCs w:val="20"/>
                <w:lang w:eastAsia="cy-GB"/>
              </w:rPr>
              <w:t>76.7</w:t>
            </w:r>
          </w:p>
        </w:tc>
      </w:tr>
    </w:tbl>
    <w:p w:rsidR="00DC24F2" w:rsidRPr="007B2032" w:rsidRDefault="00DC24F2" w:rsidP="00DC24F2">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w:t>
      </w:r>
      <w:r>
        <w:rPr>
          <w:rFonts w:ascii="Tahoma" w:hAnsi="Tahoma" w:cs="Tahoma"/>
          <w:i/>
          <w:sz w:val="18"/>
          <w:szCs w:val="18"/>
        </w:rPr>
        <w:t xml:space="preserve"> AND </w:t>
      </w:r>
      <w:r w:rsidRPr="005F786B">
        <w:rPr>
          <w:rFonts w:ascii="Tahoma" w:hAnsi="Tahoma" w:cs="Tahoma"/>
          <w:i/>
          <w:sz w:val="18"/>
          <w:szCs w:val="24"/>
        </w:rPr>
        <w:t>OTHER MEDAS,</w:t>
      </w:r>
      <w:r w:rsidRPr="00535985">
        <w:rPr>
          <w:rFonts w:ascii="Tahoma" w:hAnsi="Tahoma" w:cs="Tahoma"/>
          <w:i/>
          <w:sz w:val="18"/>
          <w:szCs w:val="18"/>
        </w:rPr>
        <w:t xml:space="preserve"> ONDO STATE</w:t>
      </w:r>
    </w:p>
    <w:p w:rsidR="00DC24F2" w:rsidRDefault="00DC24F2" w:rsidP="00DC24F2">
      <w:pPr>
        <w:spacing w:line="240" w:lineRule="auto"/>
        <w:jc w:val="both"/>
        <w:rPr>
          <w:rFonts w:ascii="Tahoma" w:hAnsi="Tahoma" w:cs="Tahoma"/>
          <w:sz w:val="28"/>
          <w:szCs w:val="28"/>
        </w:rPr>
      </w:pPr>
    </w:p>
    <w:p w:rsidR="00170EAC" w:rsidRDefault="00170EAC" w:rsidP="00DC24F2">
      <w:pPr>
        <w:spacing w:line="240" w:lineRule="auto"/>
        <w:jc w:val="both"/>
        <w:rPr>
          <w:rFonts w:ascii="Tahoma" w:hAnsi="Tahoma" w:cs="Tahoma"/>
          <w:sz w:val="28"/>
          <w:szCs w:val="28"/>
        </w:rPr>
      </w:pPr>
    </w:p>
    <w:p w:rsidR="00DC24F2" w:rsidRDefault="00DC24F2" w:rsidP="00DC24F2">
      <w:pPr>
        <w:spacing w:line="240" w:lineRule="auto"/>
        <w:ind w:left="1843" w:hanging="1843"/>
        <w:jc w:val="both"/>
        <w:rPr>
          <w:rFonts w:ascii="Tahoma" w:hAnsi="Tahoma" w:cs="Tahoma"/>
          <w:b/>
          <w:sz w:val="28"/>
          <w:szCs w:val="24"/>
        </w:rPr>
      </w:pPr>
      <w:r>
        <w:rPr>
          <w:rFonts w:ascii="Tahoma" w:hAnsi="Tahoma" w:cs="Tahoma"/>
          <w:b/>
          <w:sz w:val="28"/>
          <w:szCs w:val="24"/>
        </w:rPr>
        <w:lastRenderedPageBreak/>
        <w:t>Figure 3.9: Bar Chart Showing Performance of First Quarter Subvention to Institutions and Agencies</w:t>
      </w:r>
    </w:p>
    <w:p w:rsidR="00DC24F2" w:rsidRDefault="00DC24F2" w:rsidP="00DC24F2">
      <w:pPr>
        <w:spacing w:after="0" w:line="240" w:lineRule="auto"/>
        <w:jc w:val="both"/>
        <w:rPr>
          <w:rFonts w:ascii="Calibri" w:eastAsia="Times New Roman" w:hAnsi="Calibri" w:cs="Times New Roman"/>
          <w:color w:val="000000"/>
          <w:lang w:val="en-GB" w:eastAsia="en-GB"/>
        </w:rPr>
      </w:pPr>
      <w:r>
        <w:rPr>
          <w:noProof/>
          <w:lang w:eastAsia="cy-GB"/>
        </w:rPr>
        <w:drawing>
          <wp:inline distT="0" distB="0" distL="0" distR="0" wp14:anchorId="48E6A287" wp14:editId="52F60057">
            <wp:extent cx="5686425" cy="52578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C24F2" w:rsidRDefault="00DC24F2" w:rsidP="00DC24F2">
      <w:pPr>
        <w:spacing w:after="0" w:line="240" w:lineRule="auto"/>
        <w:jc w:val="both"/>
        <w:rPr>
          <w:rFonts w:ascii="Calibri" w:eastAsia="Times New Roman" w:hAnsi="Calibri" w:cs="Times New Roman"/>
          <w:color w:val="000000"/>
          <w:lang w:val="en-GB" w:eastAsia="en-GB"/>
        </w:rPr>
      </w:pPr>
    </w:p>
    <w:p w:rsidR="00DC24F2" w:rsidRDefault="00DC24F2" w:rsidP="00DC24F2">
      <w:pPr>
        <w:spacing w:after="0" w:line="240" w:lineRule="auto"/>
        <w:jc w:val="both"/>
        <w:rPr>
          <w:rFonts w:ascii="Tahoma" w:hAnsi="Tahoma" w:cs="Tahoma"/>
          <w:sz w:val="28"/>
          <w:szCs w:val="28"/>
        </w:rPr>
      </w:pPr>
    </w:p>
    <w:p w:rsidR="00DC24F2" w:rsidRPr="00C93527" w:rsidRDefault="00DC24F2" w:rsidP="00DC24F2">
      <w:pPr>
        <w:spacing w:after="0" w:line="240" w:lineRule="auto"/>
        <w:jc w:val="both"/>
        <w:rPr>
          <w:rFonts w:ascii="Calibri" w:eastAsia="Times New Roman" w:hAnsi="Calibri" w:cs="Times New Roman"/>
          <w:color w:val="000000"/>
          <w:lang w:val="en-GB" w:eastAsia="en-GB"/>
        </w:rPr>
      </w:pPr>
    </w:p>
    <w:p w:rsidR="00DC24F2" w:rsidRDefault="00DC24F2" w:rsidP="00DC24F2">
      <w:pPr>
        <w:pStyle w:val="NoSpacing"/>
        <w:numPr>
          <w:ilvl w:val="2"/>
          <w:numId w:val="2"/>
        </w:numPr>
        <w:spacing w:line="480" w:lineRule="auto"/>
        <w:jc w:val="both"/>
        <w:rPr>
          <w:rFonts w:ascii="Tahoma" w:hAnsi="Tahoma" w:cs="Tahoma"/>
          <w:b/>
          <w:sz w:val="28"/>
          <w:szCs w:val="28"/>
        </w:rPr>
      </w:pPr>
      <w:r>
        <w:rPr>
          <w:rFonts w:ascii="Tahoma" w:hAnsi="Tahoma" w:cs="Tahoma"/>
          <w:b/>
          <w:sz w:val="28"/>
          <w:szCs w:val="28"/>
        </w:rPr>
        <w:t>CONSOLIDATED REVENUE FUND CHARGES (CRFC)</w:t>
      </w:r>
    </w:p>
    <w:p w:rsidR="00DC24F2" w:rsidRPr="00365401" w:rsidRDefault="00DC24F2" w:rsidP="00DC24F2">
      <w:pPr>
        <w:spacing w:line="480" w:lineRule="auto"/>
        <w:ind w:firstLine="720"/>
        <w:jc w:val="both"/>
        <w:rPr>
          <w:rFonts w:ascii="Tahoma" w:hAnsi="Tahoma" w:cs="Tahoma"/>
          <w:sz w:val="28"/>
          <w:szCs w:val="28"/>
        </w:rPr>
      </w:pPr>
      <w:r>
        <w:rPr>
          <w:rFonts w:ascii="Tahoma" w:hAnsi="Tahoma" w:cs="Tahoma"/>
          <w:sz w:val="28"/>
          <w:szCs w:val="28"/>
        </w:rPr>
        <w:t xml:space="preserve">With quarter estimates of </w:t>
      </w:r>
      <w:r w:rsidRPr="00DF613C">
        <w:rPr>
          <w:rFonts w:ascii="Tahoma" w:hAnsi="Tahoma" w:cs="Tahoma"/>
          <w:dstrike/>
          <w:sz w:val="28"/>
          <w:szCs w:val="28"/>
        </w:rPr>
        <w:t>N</w:t>
      </w:r>
      <w:r>
        <w:rPr>
          <w:rFonts w:ascii="Tahoma" w:hAnsi="Tahoma" w:cs="Tahoma"/>
          <w:sz w:val="28"/>
          <w:szCs w:val="28"/>
        </w:rPr>
        <w:t xml:space="preserve">4.540 billion, actual Consolidated Revenue Fund Charges (CRFC) for the 2019 first quarter was </w:t>
      </w:r>
      <w:r w:rsidRPr="00DF613C">
        <w:rPr>
          <w:rFonts w:ascii="Tahoma" w:hAnsi="Tahoma" w:cs="Tahoma"/>
          <w:dstrike/>
          <w:sz w:val="28"/>
          <w:szCs w:val="28"/>
        </w:rPr>
        <w:t>N</w:t>
      </w:r>
      <w:r>
        <w:rPr>
          <w:rFonts w:ascii="Tahoma" w:hAnsi="Tahoma" w:cs="Tahoma"/>
          <w:sz w:val="28"/>
          <w:szCs w:val="28"/>
        </w:rPr>
        <w:t xml:space="preserve">3.679 billion, representing 81.0% performance level for the quarter while the corresponding 2018 first quarter actual of </w:t>
      </w:r>
      <w:r w:rsidRPr="00DF613C">
        <w:rPr>
          <w:rFonts w:ascii="Tahoma" w:hAnsi="Tahoma" w:cs="Tahoma"/>
          <w:dstrike/>
          <w:sz w:val="28"/>
          <w:szCs w:val="28"/>
        </w:rPr>
        <w:t>N</w:t>
      </w:r>
      <w:r>
        <w:rPr>
          <w:rFonts w:ascii="Tahoma" w:hAnsi="Tahoma" w:cs="Tahoma"/>
          <w:sz w:val="28"/>
          <w:szCs w:val="28"/>
        </w:rPr>
        <w:t>3.750 billion recorded a performance of 82.1%.</w:t>
      </w:r>
    </w:p>
    <w:p w:rsidR="00DC24F2" w:rsidRPr="0059243C" w:rsidRDefault="00DC24F2" w:rsidP="00DC24F2">
      <w:pPr>
        <w:pStyle w:val="NoSpacing"/>
        <w:spacing w:line="276" w:lineRule="auto"/>
        <w:ind w:left="1418" w:hanging="1418"/>
        <w:rPr>
          <w:rFonts w:ascii="Tahoma" w:hAnsi="Tahoma" w:cs="Tahoma"/>
          <w:sz w:val="24"/>
          <w:szCs w:val="24"/>
        </w:rPr>
      </w:pPr>
      <w:r>
        <w:rPr>
          <w:rFonts w:ascii="Tahoma" w:hAnsi="Tahoma" w:cs="Tahoma"/>
          <w:b/>
          <w:sz w:val="28"/>
          <w:szCs w:val="24"/>
        </w:rPr>
        <w:lastRenderedPageBreak/>
        <w:t>Table 3.5</w:t>
      </w:r>
      <w:r w:rsidRPr="00C2333E">
        <w:rPr>
          <w:rFonts w:ascii="Tahoma" w:hAnsi="Tahoma" w:cs="Tahoma"/>
          <w:b/>
          <w:sz w:val="28"/>
          <w:szCs w:val="24"/>
        </w:rPr>
        <w:t xml:space="preserve">: </w:t>
      </w:r>
      <w:r>
        <w:rPr>
          <w:rFonts w:ascii="Tahoma" w:hAnsi="Tahoma" w:cs="Tahoma"/>
          <w:b/>
          <w:sz w:val="28"/>
          <w:szCs w:val="24"/>
        </w:rPr>
        <w:t>Details of First Quarter Consolidated Revenue Fund Charges (CRFC)</w:t>
      </w:r>
    </w:p>
    <w:tbl>
      <w:tblPr>
        <w:tblStyle w:val="GridTable5Dark-Accent6"/>
        <w:tblW w:w="9755" w:type="dxa"/>
        <w:tblLook w:val="04A0" w:firstRow="1" w:lastRow="0" w:firstColumn="1" w:lastColumn="0" w:noHBand="0" w:noVBand="1"/>
      </w:tblPr>
      <w:tblGrid>
        <w:gridCol w:w="3199"/>
        <w:gridCol w:w="1750"/>
        <w:gridCol w:w="1648"/>
        <w:gridCol w:w="1648"/>
        <w:gridCol w:w="1510"/>
      </w:tblGrid>
      <w:tr w:rsidR="00DC24F2" w:rsidRPr="00926AA3" w:rsidTr="00DC24F2">
        <w:trPr>
          <w:cnfStyle w:val="100000000000" w:firstRow="1" w:lastRow="0" w:firstColumn="0" w:lastColumn="0" w:oddVBand="0" w:evenVBand="0" w:oddHBand="0"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3199" w:type="dxa"/>
            <w:noWrap/>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CRFC DETAILS</w:t>
            </w:r>
          </w:p>
        </w:tc>
        <w:tc>
          <w:tcPr>
            <w:tcW w:w="1750" w:type="dxa"/>
            <w:hideMark/>
          </w:tcPr>
          <w:p w:rsidR="00DC24F2" w:rsidRPr="00926AA3"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APPROVED BUDGET</w:t>
            </w:r>
          </w:p>
        </w:tc>
        <w:tc>
          <w:tcPr>
            <w:tcW w:w="1648" w:type="dxa"/>
            <w:hideMark/>
          </w:tcPr>
          <w:p w:rsidR="00DC24F2" w:rsidRPr="00926AA3"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FIRST QUARTER ESTIMATES</w:t>
            </w:r>
          </w:p>
        </w:tc>
        <w:tc>
          <w:tcPr>
            <w:tcW w:w="1648" w:type="dxa"/>
            <w:hideMark/>
          </w:tcPr>
          <w:p w:rsidR="00DC24F2" w:rsidRPr="00926AA3"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FIRST QUARTER ACTUAL</w:t>
            </w:r>
          </w:p>
        </w:tc>
        <w:tc>
          <w:tcPr>
            <w:tcW w:w="1510" w:type="dxa"/>
            <w:hideMark/>
          </w:tcPr>
          <w:p w:rsidR="00DC24F2" w:rsidRPr="00926AA3"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PERFORMANCE LEVEL (%)</w:t>
            </w:r>
          </w:p>
        </w:tc>
      </w:tr>
      <w:tr w:rsidR="00DC24F2" w:rsidRPr="00926AA3" w:rsidTr="00DC24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3199" w:type="dxa"/>
            <w:noWrap/>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 xml:space="preserve"> PENSION</w:t>
            </w:r>
          </w:p>
        </w:tc>
        <w:tc>
          <w:tcPr>
            <w:tcW w:w="175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5,655,173,330.00</w:t>
            </w:r>
          </w:p>
        </w:tc>
        <w:tc>
          <w:tcPr>
            <w:tcW w:w="1648"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1,413,793,332.50</w:t>
            </w:r>
          </w:p>
        </w:tc>
        <w:tc>
          <w:tcPr>
            <w:tcW w:w="1648"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2,034,166,634.58</w:t>
            </w:r>
          </w:p>
        </w:tc>
        <w:tc>
          <w:tcPr>
            <w:tcW w:w="151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143.9</w:t>
            </w:r>
          </w:p>
        </w:tc>
      </w:tr>
      <w:tr w:rsidR="00DC24F2" w:rsidRPr="00926AA3" w:rsidTr="00DC24F2">
        <w:trPr>
          <w:trHeight w:val="321"/>
        </w:trPr>
        <w:tc>
          <w:tcPr>
            <w:cnfStyle w:val="001000000000" w:firstRow="0" w:lastRow="0" w:firstColumn="1" w:lastColumn="0" w:oddVBand="0" w:evenVBand="0" w:oddHBand="0" w:evenHBand="0" w:firstRowFirstColumn="0" w:firstRowLastColumn="0" w:lastRowFirstColumn="0" w:lastRowLastColumn="0"/>
            <w:tcW w:w="3199" w:type="dxa"/>
            <w:noWrap/>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SALARIES OF POLITICAL OFFICE HOLDERS</w:t>
            </w:r>
          </w:p>
        </w:tc>
        <w:tc>
          <w:tcPr>
            <w:tcW w:w="1750"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1,000,000,000.00</w:t>
            </w:r>
          </w:p>
        </w:tc>
        <w:tc>
          <w:tcPr>
            <w:tcW w:w="1648"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250,000,000.00</w:t>
            </w:r>
          </w:p>
        </w:tc>
        <w:tc>
          <w:tcPr>
            <w:tcW w:w="1648"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188,104,146.78</w:t>
            </w:r>
          </w:p>
        </w:tc>
        <w:tc>
          <w:tcPr>
            <w:tcW w:w="1510"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75.2</w:t>
            </w:r>
          </w:p>
        </w:tc>
      </w:tr>
      <w:tr w:rsidR="00DC24F2" w:rsidRPr="00926AA3" w:rsidTr="00DC24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3199" w:type="dxa"/>
            <w:noWrap/>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GRATUITY</w:t>
            </w:r>
          </w:p>
        </w:tc>
        <w:tc>
          <w:tcPr>
            <w:tcW w:w="175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2,800,000,000.00</w:t>
            </w:r>
          </w:p>
        </w:tc>
        <w:tc>
          <w:tcPr>
            <w:tcW w:w="1648"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700,000,000.00</w:t>
            </w:r>
          </w:p>
        </w:tc>
        <w:tc>
          <w:tcPr>
            <w:tcW w:w="1648"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550,000,000.00</w:t>
            </w:r>
          </w:p>
        </w:tc>
        <w:tc>
          <w:tcPr>
            <w:tcW w:w="151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78.6</w:t>
            </w:r>
          </w:p>
        </w:tc>
      </w:tr>
      <w:tr w:rsidR="00DC24F2" w:rsidRPr="00926AA3" w:rsidTr="00DC24F2">
        <w:trPr>
          <w:trHeight w:val="321"/>
        </w:trPr>
        <w:tc>
          <w:tcPr>
            <w:cnfStyle w:val="001000000000" w:firstRow="0" w:lastRow="0" w:firstColumn="1" w:lastColumn="0" w:oddVBand="0" w:evenVBand="0" w:oddHBand="0" w:evenHBand="0" w:firstRowFirstColumn="0" w:firstRowLastColumn="0" w:lastRowFirstColumn="0" w:lastRowLastColumn="0"/>
            <w:tcW w:w="3199" w:type="dxa"/>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INTEREST COMPONENTS ON DEBT</w:t>
            </w:r>
          </w:p>
        </w:tc>
        <w:tc>
          <w:tcPr>
            <w:tcW w:w="1750"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5,251,003,070.00</w:t>
            </w:r>
          </w:p>
        </w:tc>
        <w:tc>
          <w:tcPr>
            <w:tcW w:w="1648"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1,312,750,767.50</w:t>
            </w:r>
          </w:p>
        </w:tc>
        <w:tc>
          <w:tcPr>
            <w:tcW w:w="1648"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892,696,663.58</w:t>
            </w:r>
          </w:p>
        </w:tc>
        <w:tc>
          <w:tcPr>
            <w:tcW w:w="1510"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68.0</w:t>
            </w:r>
          </w:p>
        </w:tc>
      </w:tr>
      <w:tr w:rsidR="00DC24F2" w:rsidRPr="00926AA3" w:rsidTr="00DC24F2">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3199" w:type="dxa"/>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CONTRIBUTORY PENSION (EMPLOYERS)</w:t>
            </w:r>
          </w:p>
        </w:tc>
        <w:tc>
          <w:tcPr>
            <w:tcW w:w="175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3,428,272,800.00</w:t>
            </w:r>
          </w:p>
        </w:tc>
        <w:tc>
          <w:tcPr>
            <w:tcW w:w="1648"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857,068,200.00</w:t>
            </w:r>
          </w:p>
        </w:tc>
        <w:tc>
          <w:tcPr>
            <w:tcW w:w="1648" w:type="dxa"/>
            <w:noWrap/>
            <w:hideMark/>
          </w:tcPr>
          <w:p w:rsidR="00DC24F2" w:rsidRPr="00926AA3" w:rsidRDefault="00DC24F2" w:rsidP="00DC2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 xml:space="preserve">           9,627,373.59 </w:t>
            </w:r>
          </w:p>
        </w:tc>
        <w:tc>
          <w:tcPr>
            <w:tcW w:w="151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1.1</w:t>
            </w:r>
          </w:p>
        </w:tc>
      </w:tr>
      <w:tr w:rsidR="00DC24F2" w:rsidRPr="00926AA3" w:rsidTr="00DC24F2">
        <w:trPr>
          <w:trHeight w:val="965"/>
        </w:trPr>
        <w:tc>
          <w:tcPr>
            <w:cnfStyle w:val="001000000000" w:firstRow="0" w:lastRow="0" w:firstColumn="1" w:lastColumn="0" w:oddVBand="0" w:evenVBand="0" w:oddHBand="0" w:evenHBand="0" w:firstRowFirstColumn="0" w:firstRowLastColumn="0" w:lastRowFirstColumn="0" w:lastRowLastColumn="0"/>
            <w:tcW w:w="3199" w:type="dxa"/>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PAYMENT OF BENEFITS TO PAST GOVERNORS/DEPUTY GOVERNORS</w:t>
            </w:r>
          </w:p>
        </w:tc>
        <w:tc>
          <w:tcPr>
            <w:tcW w:w="1750"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25,000,000.00</w:t>
            </w:r>
          </w:p>
        </w:tc>
        <w:tc>
          <w:tcPr>
            <w:tcW w:w="1648"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6,250,000.00</w:t>
            </w:r>
          </w:p>
        </w:tc>
        <w:tc>
          <w:tcPr>
            <w:tcW w:w="1648" w:type="dxa"/>
            <w:noWrap/>
            <w:hideMark/>
          </w:tcPr>
          <w:p w:rsidR="00DC24F2" w:rsidRPr="00926AA3" w:rsidRDefault="00DC24F2" w:rsidP="00DC2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 xml:space="preserve">           4,820,727.36 </w:t>
            </w:r>
          </w:p>
        </w:tc>
        <w:tc>
          <w:tcPr>
            <w:tcW w:w="1510" w:type="dxa"/>
            <w:noWrap/>
            <w:hideMark/>
          </w:tcPr>
          <w:p w:rsidR="00DC24F2" w:rsidRPr="00926AA3"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77.1</w:t>
            </w:r>
          </w:p>
        </w:tc>
      </w:tr>
      <w:tr w:rsidR="00DC24F2" w:rsidRPr="00926AA3" w:rsidTr="00DC24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3199" w:type="dxa"/>
            <w:noWrap/>
            <w:hideMark/>
          </w:tcPr>
          <w:p w:rsidR="00DC24F2" w:rsidRPr="00926AA3" w:rsidRDefault="00DC24F2" w:rsidP="00DC24F2">
            <w:pPr>
              <w:spacing w:after="0" w:line="240" w:lineRule="auto"/>
              <w:rPr>
                <w:rFonts w:ascii="Calibri" w:eastAsia="Times New Roman" w:hAnsi="Calibri" w:cs="Times New Roman"/>
                <w:color w:val="000000"/>
                <w:sz w:val="20"/>
                <w:szCs w:val="20"/>
                <w:lang w:eastAsia="cy-GB"/>
              </w:rPr>
            </w:pPr>
            <w:r w:rsidRPr="00926AA3">
              <w:rPr>
                <w:rFonts w:ascii="Calibri" w:eastAsia="Times New Roman" w:hAnsi="Calibri" w:cs="Times New Roman"/>
                <w:color w:val="000000"/>
                <w:sz w:val="20"/>
                <w:szCs w:val="20"/>
                <w:lang w:eastAsia="cy-GB"/>
              </w:rPr>
              <w:t>TOTAL</w:t>
            </w:r>
          </w:p>
        </w:tc>
        <w:tc>
          <w:tcPr>
            <w:tcW w:w="175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926AA3">
              <w:rPr>
                <w:rFonts w:ascii="Calibri" w:eastAsia="Times New Roman" w:hAnsi="Calibri" w:cs="Times New Roman"/>
                <w:b/>
                <w:bCs/>
                <w:color w:val="000000"/>
                <w:sz w:val="20"/>
                <w:szCs w:val="20"/>
                <w:lang w:eastAsia="cy-GB"/>
              </w:rPr>
              <w:t>18,159,449,200.00</w:t>
            </w:r>
          </w:p>
        </w:tc>
        <w:tc>
          <w:tcPr>
            <w:tcW w:w="1648"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926AA3">
              <w:rPr>
                <w:rFonts w:ascii="Calibri" w:eastAsia="Times New Roman" w:hAnsi="Calibri" w:cs="Times New Roman"/>
                <w:b/>
                <w:bCs/>
                <w:color w:val="000000"/>
                <w:sz w:val="20"/>
                <w:szCs w:val="20"/>
                <w:lang w:eastAsia="cy-GB"/>
              </w:rPr>
              <w:t>4,539,862,300.00</w:t>
            </w:r>
          </w:p>
        </w:tc>
        <w:tc>
          <w:tcPr>
            <w:tcW w:w="1648"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926AA3">
              <w:rPr>
                <w:rFonts w:ascii="Calibri" w:eastAsia="Times New Roman" w:hAnsi="Calibri" w:cs="Times New Roman"/>
                <w:b/>
                <w:bCs/>
                <w:color w:val="000000"/>
                <w:sz w:val="20"/>
                <w:szCs w:val="20"/>
                <w:lang w:eastAsia="cy-GB"/>
              </w:rPr>
              <w:t>3,679,415,545.89</w:t>
            </w:r>
          </w:p>
        </w:tc>
        <w:tc>
          <w:tcPr>
            <w:tcW w:w="1510" w:type="dxa"/>
            <w:noWrap/>
            <w:hideMark/>
          </w:tcPr>
          <w:p w:rsidR="00DC24F2" w:rsidRPr="00926AA3"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926AA3">
              <w:rPr>
                <w:rFonts w:ascii="Calibri" w:eastAsia="Times New Roman" w:hAnsi="Calibri" w:cs="Times New Roman"/>
                <w:b/>
                <w:bCs/>
                <w:color w:val="000000"/>
                <w:sz w:val="20"/>
                <w:szCs w:val="20"/>
                <w:lang w:eastAsia="cy-GB"/>
              </w:rPr>
              <w:t>81.0</w:t>
            </w:r>
          </w:p>
        </w:tc>
      </w:tr>
    </w:tbl>
    <w:p w:rsidR="00DC24F2" w:rsidRPr="0027203B" w:rsidRDefault="00DC24F2" w:rsidP="00DC24F2">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xml:space="preserve">: </w:t>
      </w:r>
      <w:r w:rsidRPr="00615D8F">
        <w:rPr>
          <w:rFonts w:ascii="Tahoma" w:hAnsi="Tahoma" w:cs="Tahoma"/>
          <w:i/>
          <w:sz w:val="20"/>
          <w:szCs w:val="20"/>
        </w:rPr>
        <w:t>Office of the Accountant-General/Debt Management Department</w:t>
      </w:r>
    </w:p>
    <w:p w:rsidR="00DC24F2" w:rsidRDefault="00DC24F2" w:rsidP="00DC24F2">
      <w:pPr>
        <w:pStyle w:val="NoSpacing"/>
        <w:ind w:left="1985" w:hanging="1985"/>
        <w:jc w:val="both"/>
        <w:rPr>
          <w:rFonts w:ascii="Tahoma" w:hAnsi="Tahoma" w:cs="Tahoma"/>
          <w:b/>
          <w:sz w:val="28"/>
          <w:szCs w:val="24"/>
        </w:rPr>
      </w:pPr>
      <w:r>
        <w:rPr>
          <w:rFonts w:ascii="Tahoma" w:hAnsi="Tahoma" w:cs="Tahoma"/>
          <w:b/>
          <w:sz w:val="28"/>
          <w:szCs w:val="24"/>
        </w:rPr>
        <w:t>Figure 3.10: Bar Chart Showing First Quarter Consolidated Revenue Fund Charges (CRFC)</w:t>
      </w:r>
    </w:p>
    <w:p w:rsidR="00DC24F2" w:rsidRDefault="00DC24F2" w:rsidP="00DC24F2">
      <w:pPr>
        <w:pStyle w:val="NoSpacing"/>
        <w:jc w:val="both"/>
        <w:rPr>
          <w:rFonts w:ascii="Tahoma" w:hAnsi="Tahoma" w:cs="Tahoma"/>
          <w:b/>
          <w:sz w:val="28"/>
          <w:szCs w:val="28"/>
        </w:rPr>
      </w:pPr>
    </w:p>
    <w:p w:rsidR="00DC24F2" w:rsidRPr="00124B4A" w:rsidRDefault="00DC24F2" w:rsidP="00DC24F2">
      <w:pPr>
        <w:pStyle w:val="NoSpacing"/>
        <w:spacing w:line="480" w:lineRule="auto"/>
        <w:jc w:val="both"/>
        <w:rPr>
          <w:rFonts w:ascii="Tahoma" w:hAnsi="Tahoma" w:cs="Tahoma"/>
          <w:sz w:val="28"/>
          <w:szCs w:val="28"/>
        </w:rPr>
      </w:pPr>
      <w:r>
        <w:rPr>
          <w:noProof/>
          <w:lang w:val="cy-GB" w:eastAsia="cy-GB"/>
        </w:rPr>
        <w:drawing>
          <wp:inline distT="0" distB="0" distL="0" distR="0" wp14:anchorId="4277E7A4" wp14:editId="0CFE56D9">
            <wp:extent cx="5886450" cy="353377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rFonts w:ascii="Tahoma" w:hAnsi="Tahoma" w:cs="Tahoma"/>
          <w:b/>
          <w:sz w:val="28"/>
          <w:szCs w:val="28"/>
        </w:rPr>
        <w:br w:type="textWrapping" w:clear="all"/>
      </w:r>
      <w:r>
        <w:rPr>
          <w:rFonts w:ascii="Tahoma" w:hAnsi="Tahoma" w:cs="Tahoma"/>
          <w:sz w:val="28"/>
          <w:szCs w:val="28"/>
        </w:rPr>
        <w:t xml:space="preserve">Table 3.5 and Figure 3.10 show the first quarter CRFC components for the year 2019. The quarter estimates for Pension was </w:t>
      </w:r>
      <w:r w:rsidRPr="004F24A8">
        <w:rPr>
          <w:rFonts w:ascii="Tahoma" w:hAnsi="Tahoma" w:cs="Tahoma"/>
          <w:dstrike/>
          <w:sz w:val="28"/>
          <w:szCs w:val="28"/>
        </w:rPr>
        <w:t>N</w:t>
      </w:r>
      <w:r>
        <w:rPr>
          <w:rFonts w:ascii="Tahoma" w:hAnsi="Tahoma" w:cs="Tahoma"/>
          <w:sz w:val="28"/>
          <w:szCs w:val="28"/>
        </w:rPr>
        <w:t xml:space="preserve">1.414 billion, Salaries of Political Office holders </w:t>
      </w:r>
      <w:r w:rsidRPr="004F24A8">
        <w:rPr>
          <w:rFonts w:ascii="Tahoma" w:hAnsi="Tahoma" w:cs="Tahoma"/>
          <w:dstrike/>
          <w:sz w:val="28"/>
          <w:szCs w:val="28"/>
        </w:rPr>
        <w:t>N</w:t>
      </w:r>
      <w:r>
        <w:rPr>
          <w:rFonts w:ascii="Tahoma" w:hAnsi="Tahoma" w:cs="Tahoma"/>
          <w:sz w:val="28"/>
          <w:szCs w:val="28"/>
        </w:rPr>
        <w:t xml:space="preserve">0.250 billion, Gratuity </w:t>
      </w:r>
      <w:r w:rsidRPr="004F24A8">
        <w:rPr>
          <w:rFonts w:ascii="Tahoma" w:hAnsi="Tahoma" w:cs="Tahoma"/>
          <w:dstrike/>
          <w:sz w:val="28"/>
          <w:szCs w:val="28"/>
        </w:rPr>
        <w:t>N</w:t>
      </w:r>
      <w:r>
        <w:rPr>
          <w:rFonts w:ascii="Tahoma" w:hAnsi="Tahoma" w:cs="Tahoma"/>
          <w:sz w:val="28"/>
          <w:szCs w:val="28"/>
        </w:rPr>
        <w:t xml:space="preserve">0.700 billion, Interest </w:t>
      </w:r>
      <w:r>
        <w:rPr>
          <w:rFonts w:ascii="Tahoma" w:hAnsi="Tahoma" w:cs="Tahoma"/>
          <w:sz w:val="28"/>
          <w:szCs w:val="28"/>
        </w:rPr>
        <w:lastRenderedPageBreak/>
        <w:t xml:space="preserve">component on debt </w:t>
      </w:r>
      <w:r w:rsidRPr="004F24A8">
        <w:rPr>
          <w:rFonts w:ascii="Tahoma" w:hAnsi="Tahoma" w:cs="Tahoma"/>
          <w:dstrike/>
          <w:sz w:val="28"/>
          <w:szCs w:val="28"/>
        </w:rPr>
        <w:t>N</w:t>
      </w:r>
      <w:r>
        <w:rPr>
          <w:rFonts w:ascii="Tahoma" w:hAnsi="Tahoma" w:cs="Tahoma"/>
          <w:sz w:val="28"/>
          <w:szCs w:val="28"/>
        </w:rPr>
        <w:t xml:space="preserve">1.313 billion, Contributory Pension (Employers) </w:t>
      </w:r>
      <w:r w:rsidRPr="004F24A8">
        <w:rPr>
          <w:rFonts w:ascii="Tahoma" w:hAnsi="Tahoma" w:cs="Tahoma"/>
          <w:dstrike/>
          <w:sz w:val="28"/>
          <w:szCs w:val="28"/>
        </w:rPr>
        <w:t>N</w:t>
      </w:r>
      <w:r>
        <w:rPr>
          <w:rFonts w:ascii="Tahoma" w:hAnsi="Tahoma" w:cs="Tahoma"/>
          <w:sz w:val="28"/>
          <w:szCs w:val="28"/>
        </w:rPr>
        <w:t xml:space="preserve">0.857 billion and </w:t>
      </w:r>
      <w:r>
        <w:rPr>
          <w:rFonts w:ascii="Tahoma" w:eastAsia="Times New Roman" w:hAnsi="Tahoma" w:cs="Tahoma"/>
          <w:color w:val="000000"/>
          <w:sz w:val="28"/>
          <w:szCs w:val="28"/>
          <w:lang w:eastAsia="en-GB"/>
        </w:rPr>
        <w:t>Payment of Benefits t</w:t>
      </w:r>
      <w:r w:rsidRPr="009F4498">
        <w:rPr>
          <w:rFonts w:ascii="Tahoma" w:eastAsia="Times New Roman" w:hAnsi="Tahoma" w:cs="Tahoma"/>
          <w:color w:val="000000"/>
          <w:sz w:val="28"/>
          <w:szCs w:val="28"/>
          <w:lang w:eastAsia="en-GB"/>
        </w:rPr>
        <w:t>o Past Governors/Deputy Gov</w:t>
      </w:r>
      <w:r>
        <w:rPr>
          <w:rFonts w:ascii="Tahoma" w:eastAsia="Times New Roman" w:hAnsi="Tahoma" w:cs="Tahoma"/>
          <w:color w:val="000000"/>
          <w:sz w:val="28"/>
          <w:szCs w:val="28"/>
          <w:lang w:eastAsia="en-GB"/>
        </w:rPr>
        <w:t>ernors</w:t>
      </w:r>
      <w:r>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 xml:space="preserve">0.006 billion. At the end of the quarter, the actuals of the expenditure components, in the same order, were </w:t>
      </w:r>
      <w:r w:rsidRPr="004F24A8">
        <w:rPr>
          <w:rFonts w:ascii="Tahoma" w:hAnsi="Tahoma" w:cs="Tahoma"/>
          <w:dstrike/>
          <w:sz w:val="28"/>
          <w:szCs w:val="28"/>
        </w:rPr>
        <w:t>N</w:t>
      </w:r>
      <w:r>
        <w:rPr>
          <w:rFonts w:ascii="Tahoma" w:hAnsi="Tahoma" w:cs="Tahoma"/>
          <w:sz w:val="28"/>
          <w:szCs w:val="28"/>
        </w:rPr>
        <w:t>2.034 billion,</w:t>
      </w:r>
      <w:r w:rsidRPr="00D61B90">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0.188 billion,</w:t>
      </w:r>
      <w:r w:rsidRPr="00D61B90">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 xml:space="preserve">0.550 billion, </w:t>
      </w:r>
      <w:r w:rsidRPr="004F24A8">
        <w:rPr>
          <w:rFonts w:ascii="Tahoma" w:hAnsi="Tahoma" w:cs="Tahoma"/>
          <w:dstrike/>
          <w:sz w:val="28"/>
          <w:szCs w:val="28"/>
        </w:rPr>
        <w:t>N</w:t>
      </w:r>
      <w:r>
        <w:rPr>
          <w:rFonts w:ascii="Tahoma" w:hAnsi="Tahoma" w:cs="Tahoma"/>
          <w:sz w:val="28"/>
          <w:szCs w:val="28"/>
        </w:rPr>
        <w:t xml:space="preserve">0.893billion, </w:t>
      </w:r>
      <w:r w:rsidRPr="004F24A8">
        <w:rPr>
          <w:rFonts w:ascii="Tahoma" w:hAnsi="Tahoma" w:cs="Tahoma"/>
          <w:dstrike/>
          <w:sz w:val="28"/>
          <w:szCs w:val="28"/>
        </w:rPr>
        <w:t>N</w:t>
      </w:r>
      <w:r>
        <w:rPr>
          <w:rFonts w:ascii="Tahoma" w:hAnsi="Tahoma" w:cs="Tahoma"/>
          <w:sz w:val="28"/>
          <w:szCs w:val="28"/>
        </w:rPr>
        <w:t xml:space="preserve">0.010 billion and </w:t>
      </w:r>
      <w:r w:rsidRPr="004F24A8">
        <w:rPr>
          <w:rFonts w:ascii="Tahoma" w:hAnsi="Tahoma" w:cs="Tahoma"/>
          <w:dstrike/>
          <w:sz w:val="28"/>
          <w:szCs w:val="28"/>
        </w:rPr>
        <w:t>N</w:t>
      </w:r>
      <w:r>
        <w:rPr>
          <w:rFonts w:ascii="Tahoma" w:hAnsi="Tahoma" w:cs="Tahoma"/>
          <w:sz w:val="28"/>
          <w:szCs w:val="28"/>
        </w:rPr>
        <w:t>0.005 billion.</w:t>
      </w:r>
    </w:p>
    <w:p w:rsidR="00DC24F2" w:rsidRDefault="00DC24F2" w:rsidP="00DC24F2">
      <w:pPr>
        <w:pStyle w:val="NoSpacing"/>
        <w:numPr>
          <w:ilvl w:val="2"/>
          <w:numId w:val="2"/>
        </w:numPr>
        <w:spacing w:after="240"/>
        <w:jc w:val="both"/>
        <w:rPr>
          <w:rFonts w:ascii="Tahoma" w:hAnsi="Tahoma" w:cs="Tahoma"/>
          <w:b/>
          <w:sz w:val="28"/>
          <w:szCs w:val="28"/>
        </w:rPr>
      </w:pPr>
      <w:r>
        <w:rPr>
          <w:rFonts w:ascii="Tahoma" w:hAnsi="Tahoma" w:cs="Tahoma"/>
          <w:b/>
          <w:sz w:val="28"/>
          <w:szCs w:val="28"/>
        </w:rPr>
        <w:t>GRANTS/LOAN</w:t>
      </w:r>
    </w:p>
    <w:p w:rsidR="00DC24F2" w:rsidRPr="00C9014C" w:rsidRDefault="00DC24F2" w:rsidP="00DC24F2">
      <w:pPr>
        <w:spacing w:line="480" w:lineRule="auto"/>
        <w:ind w:firstLine="720"/>
        <w:jc w:val="both"/>
        <w:rPr>
          <w:rFonts w:ascii="Tahoma" w:hAnsi="Tahoma" w:cs="Tahoma"/>
          <w:sz w:val="28"/>
          <w:szCs w:val="28"/>
        </w:rPr>
      </w:pPr>
      <w:r>
        <w:rPr>
          <w:rFonts w:ascii="Tahoma" w:hAnsi="Tahoma" w:cs="Tahoma"/>
          <w:sz w:val="28"/>
          <w:szCs w:val="24"/>
        </w:rPr>
        <w:t>The quarter estimates</w:t>
      </w:r>
      <w:r w:rsidRPr="006015AD">
        <w:rPr>
          <w:rFonts w:ascii="Tahoma" w:hAnsi="Tahoma" w:cs="Tahoma"/>
          <w:sz w:val="28"/>
          <w:szCs w:val="24"/>
        </w:rPr>
        <w:t xml:space="preserve"> </w:t>
      </w:r>
      <w:r>
        <w:rPr>
          <w:rFonts w:ascii="Tahoma" w:hAnsi="Tahoma" w:cs="Tahoma"/>
          <w:sz w:val="28"/>
          <w:szCs w:val="24"/>
        </w:rPr>
        <w:t>for Grants/Loan for 2019 first quarter</w:t>
      </w:r>
      <w:r w:rsidRPr="006015AD">
        <w:rPr>
          <w:rFonts w:ascii="Tahoma" w:hAnsi="Tahoma" w:cs="Tahoma"/>
          <w:sz w:val="28"/>
          <w:szCs w:val="24"/>
        </w:rPr>
        <w:t xml:space="preserve"> was </w:t>
      </w:r>
      <w:r w:rsidRPr="006015AD">
        <w:rPr>
          <w:rFonts w:ascii="Tahoma" w:hAnsi="Tahoma" w:cs="Tahoma"/>
          <w:dstrike/>
          <w:sz w:val="28"/>
          <w:szCs w:val="24"/>
        </w:rPr>
        <w:t>N</w:t>
      </w:r>
      <w:r>
        <w:rPr>
          <w:rFonts w:ascii="Tahoma" w:hAnsi="Tahoma" w:cs="Tahoma"/>
          <w:sz w:val="28"/>
          <w:szCs w:val="24"/>
        </w:rPr>
        <w:t>32.500</w:t>
      </w:r>
      <w:r w:rsidRPr="006015AD">
        <w:rPr>
          <w:rFonts w:ascii="Tahoma" w:hAnsi="Tahoma" w:cs="Tahoma"/>
          <w:sz w:val="28"/>
          <w:szCs w:val="24"/>
        </w:rPr>
        <w:t xml:space="preserve"> </w:t>
      </w:r>
      <w:r>
        <w:rPr>
          <w:rFonts w:ascii="Tahoma" w:hAnsi="Tahoma" w:cs="Tahoma"/>
          <w:sz w:val="28"/>
          <w:szCs w:val="28"/>
        </w:rPr>
        <w:t>m</w:t>
      </w:r>
      <w:r w:rsidRPr="006015AD">
        <w:rPr>
          <w:rFonts w:ascii="Tahoma" w:hAnsi="Tahoma" w:cs="Tahoma"/>
          <w:sz w:val="28"/>
          <w:szCs w:val="28"/>
        </w:rPr>
        <w:t>illion</w:t>
      </w:r>
      <w:r w:rsidRPr="006015AD">
        <w:rPr>
          <w:rFonts w:ascii="Tahoma" w:hAnsi="Tahoma" w:cs="Tahoma"/>
          <w:sz w:val="28"/>
          <w:szCs w:val="24"/>
        </w:rPr>
        <w:t xml:space="preserve">. </w:t>
      </w:r>
      <w:r>
        <w:rPr>
          <w:rFonts w:ascii="Tahoma" w:hAnsi="Tahoma" w:cs="Tahoma"/>
          <w:sz w:val="28"/>
          <w:szCs w:val="24"/>
        </w:rPr>
        <w:t>At the end of the quarter</w:t>
      </w:r>
      <w:r w:rsidRPr="006015AD">
        <w:rPr>
          <w:rFonts w:ascii="Tahoma" w:hAnsi="Tahoma" w:cs="Tahoma"/>
          <w:sz w:val="28"/>
          <w:szCs w:val="24"/>
        </w:rPr>
        <w:t xml:space="preserve">, the actual expenditure recorded </w:t>
      </w:r>
      <w:r>
        <w:rPr>
          <w:rFonts w:ascii="Tahoma" w:hAnsi="Tahoma" w:cs="Tahoma"/>
          <w:sz w:val="28"/>
          <w:szCs w:val="24"/>
        </w:rPr>
        <w:t xml:space="preserve">for this head </w:t>
      </w:r>
      <w:r w:rsidRPr="006015AD">
        <w:rPr>
          <w:rFonts w:ascii="Tahoma" w:hAnsi="Tahoma" w:cs="Tahoma"/>
          <w:sz w:val="28"/>
          <w:szCs w:val="24"/>
        </w:rPr>
        <w:t xml:space="preserve">was </w:t>
      </w:r>
      <w:r w:rsidRPr="006015AD">
        <w:rPr>
          <w:rFonts w:ascii="Tahoma" w:hAnsi="Tahoma" w:cs="Tahoma"/>
          <w:dstrike/>
          <w:sz w:val="28"/>
          <w:szCs w:val="24"/>
        </w:rPr>
        <w:t>N</w:t>
      </w:r>
      <w:r>
        <w:rPr>
          <w:rFonts w:ascii="Tahoma" w:hAnsi="Tahoma" w:cs="Tahoma"/>
          <w:sz w:val="28"/>
          <w:szCs w:val="24"/>
        </w:rPr>
        <w:t>18.483 m</w:t>
      </w:r>
      <w:r w:rsidRPr="006015AD">
        <w:rPr>
          <w:rFonts w:ascii="Tahoma" w:hAnsi="Tahoma" w:cs="Tahoma"/>
          <w:sz w:val="28"/>
          <w:szCs w:val="24"/>
        </w:rPr>
        <w:t>illion</w:t>
      </w:r>
      <w:r>
        <w:rPr>
          <w:rFonts w:ascii="Tahoma" w:hAnsi="Tahoma" w:cs="Tahoma"/>
          <w:sz w:val="28"/>
          <w:szCs w:val="24"/>
        </w:rPr>
        <w:t xml:space="preserve">, representing 56.9% performance level for the quarter </w:t>
      </w:r>
      <w:r>
        <w:rPr>
          <w:rFonts w:ascii="Tahoma" w:hAnsi="Tahoma" w:cs="Tahoma"/>
          <w:sz w:val="28"/>
          <w:szCs w:val="28"/>
        </w:rPr>
        <w:t xml:space="preserve">while the corresponding 2018 first quarter actual of </w:t>
      </w:r>
      <w:r w:rsidRPr="00DF613C">
        <w:rPr>
          <w:rFonts w:ascii="Tahoma" w:hAnsi="Tahoma" w:cs="Tahoma"/>
          <w:dstrike/>
          <w:sz w:val="28"/>
          <w:szCs w:val="28"/>
        </w:rPr>
        <w:t>N</w:t>
      </w:r>
      <w:r>
        <w:rPr>
          <w:rFonts w:ascii="Tahoma" w:hAnsi="Tahoma" w:cs="Tahoma"/>
          <w:sz w:val="28"/>
          <w:szCs w:val="28"/>
        </w:rPr>
        <w:t>35.466 million recorded a performance of 94.6%.</w:t>
      </w:r>
    </w:p>
    <w:p w:rsidR="00DC24F2" w:rsidRPr="00835995" w:rsidRDefault="00DC24F2" w:rsidP="00DC24F2">
      <w:pPr>
        <w:spacing w:after="0" w:line="480" w:lineRule="auto"/>
        <w:jc w:val="both"/>
        <w:rPr>
          <w:rFonts w:ascii="Tahoma" w:hAnsi="Tahoma" w:cs="Tahoma"/>
          <w:sz w:val="28"/>
          <w:szCs w:val="28"/>
        </w:rPr>
      </w:pPr>
      <w:r>
        <w:rPr>
          <w:rFonts w:ascii="Tahoma" w:hAnsi="Tahoma" w:cs="Tahoma"/>
          <w:b/>
          <w:sz w:val="28"/>
          <w:szCs w:val="24"/>
        </w:rPr>
        <w:t>Figure 3.11: Bar Chart Showing First Quarter Grants/Loan</w:t>
      </w:r>
    </w:p>
    <w:p w:rsidR="00DC24F2" w:rsidRPr="00A6492C" w:rsidRDefault="00DC24F2" w:rsidP="00DC24F2">
      <w:pPr>
        <w:pStyle w:val="NoSpacing"/>
        <w:jc w:val="both"/>
        <w:rPr>
          <w:rFonts w:ascii="Tahoma" w:hAnsi="Tahoma" w:cs="Tahoma"/>
          <w:b/>
          <w:sz w:val="28"/>
          <w:szCs w:val="24"/>
        </w:rPr>
      </w:pPr>
      <w:r>
        <w:rPr>
          <w:noProof/>
          <w:lang w:val="cy-GB" w:eastAsia="cy-GB"/>
        </w:rPr>
        <w:drawing>
          <wp:inline distT="0" distB="0" distL="0" distR="0" wp14:anchorId="14567543" wp14:editId="53DD482E">
            <wp:extent cx="5715000" cy="35242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C67A1" w:rsidRDefault="00CC67A1" w:rsidP="00DC24F2">
      <w:pPr>
        <w:pStyle w:val="NoSpacing"/>
        <w:spacing w:line="480" w:lineRule="auto"/>
        <w:jc w:val="both"/>
        <w:rPr>
          <w:rFonts w:ascii="Tahoma" w:hAnsi="Tahoma" w:cs="Tahoma"/>
          <w:b/>
          <w:sz w:val="28"/>
          <w:szCs w:val="28"/>
        </w:rPr>
      </w:pPr>
    </w:p>
    <w:p w:rsidR="00DC24F2" w:rsidRDefault="00DC24F2" w:rsidP="00DC24F2">
      <w:pPr>
        <w:pStyle w:val="NoSpacing"/>
        <w:spacing w:line="480" w:lineRule="auto"/>
        <w:jc w:val="both"/>
        <w:rPr>
          <w:rFonts w:ascii="Tahoma" w:hAnsi="Tahoma" w:cs="Tahoma"/>
          <w:b/>
          <w:sz w:val="28"/>
          <w:szCs w:val="28"/>
        </w:rPr>
      </w:pPr>
      <w:r>
        <w:rPr>
          <w:rFonts w:ascii="Tahoma" w:hAnsi="Tahoma" w:cs="Tahoma"/>
          <w:b/>
          <w:sz w:val="28"/>
          <w:szCs w:val="28"/>
        </w:rPr>
        <w:lastRenderedPageBreak/>
        <w:t>3.2.7</w:t>
      </w:r>
      <w:r>
        <w:rPr>
          <w:rFonts w:ascii="Tahoma" w:hAnsi="Tahoma" w:cs="Tahoma"/>
          <w:b/>
          <w:sz w:val="28"/>
          <w:szCs w:val="28"/>
        </w:rPr>
        <w:tab/>
        <w:t xml:space="preserve"> SECTORAL RECURRENT EXPENDITURE ANALYSIS</w:t>
      </w:r>
    </w:p>
    <w:p w:rsidR="00DC24F2" w:rsidRDefault="00DC24F2" w:rsidP="00DC24F2">
      <w:pPr>
        <w:pStyle w:val="NoSpacing"/>
        <w:spacing w:line="480" w:lineRule="auto"/>
        <w:jc w:val="both"/>
        <w:rPr>
          <w:rFonts w:ascii="Tahoma" w:hAnsi="Tahoma" w:cs="Tahoma"/>
          <w:sz w:val="28"/>
          <w:szCs w:val="24"/>
        </w:rPr>
      </w:pPr>
      <w:r>
        <w:rPr>
          <w:rFonts w:ascii="Tahoma" w:hAnsi="Tahoma" w:cs="Tahoma"/>
          <w:sz w:val="28"/>
          <w:szCs w:val="28"/>
        </w:rPr>
        <w:t>T</w:t>
      </w:r>
      <w:r w:rsidRPr="007B2032">
        <w:rPr>
          <w:rFonts w:ascii="Tahoma" w:hAnsi="Tahoma" w:cs="Tahoma"/>
          <w:sz w:val="28"/>
          <w:szCs w:val="28"/>
        </w:rPr>
        <w:t>able</w:t>
      </w:r>
      <w:r>
        <w:rPr>
          <w:rFonts w:ascii="Tahoma" w:hAnsi="Tahoma" w:cs="Tahoma"/>
          <w:sz w:val="28"/>
          <w:szCs w:val="28"/>
        </w:rPr>
        <w:t xml:space="preserve"> 3.6</w:t>
      </w:r>
      <w:r>
        <w:rPr>
          <w:rFonts w:ascii="Tahoma" w:hAnsi="Tahoma" w:cs="Tahoma"/>
          <w:sz w:val="24"/>
          <w:szCs w:val="24"/>
        </w:rPr>
        <w:t xml:space="preserve"> </w:t>
      </w:r>
      <w:r>
        <w:rPr>
          <w:rFonts w:ascii="Tahoma" w:hAnsi="Tahoma" w:cs="Tahoma"/>
          <w:sz w:val="28"/>
          <w:szCs w:val="24"/>
        </w:rPr>
        <w:t xml:space="preserve">shows the sectoral recurrent expenditure details for the first quarter of the year 2019. </w:t>
      </w:r>
    </w:p>
    <w:p w:rsidR="00DC24F2" w:rsidRPr="0010280C" w:rsidRDefault="00DC24F2" w:rsidP="00DC24F2">
      <w:pPr>
        <w:pStyle w:val="NoSpacing"/>
        <w:jc w:val="both"/>
        <w:rPr>
          <w:rFonts w:ascii="Tahoma" w:hAnsi="Tahoma" w:cs="Tahoma"/>
          <w:b/>
          <w:sz w:val="28"/>
          <w:szCs w:val="28"/>
        </w:rPr>
      </w:pPr>
      <w:r>
        <w:rPr>
          <w:rFonts w:ascii="Tahoma" w:hAnsi="Tahoma" w:cs="Tahoma"/>
          <w:b/>
          <w:sz w:val="28"/>
          <w:szCs w:val="28"/>
        </w:rPr>
        <w:t>Table 3.6:  First Quarter Sectoral Recurrent Expenditure</w:t>
      </w:r>
    </w:p>
    <w:tbl>
      <w:tblPr>
        <w:tblStyle w:val="GridTable5Dark-Accent6"/>
        <w:tblW w:w="9958" w:type="dxa"/>
        <w:tblLook w:val="04A0" w:firstRow="1" w:lastRow="0" w:firstColumn="1" w:lastColumn="0" w:noHBand="0" w:noVBand="1"/>
      </w:tblPr>
      <w:tblGrid>
        <w:gridCol w:w="533"/>
        <w:gridCol w:w="2645"/>
        <w:gridCol w:w="1755"/>
        <w:gridCol w:w="1755"/>
        <w:gridCol w:w="1755"/>
        <w:gridCol w:w="1515"/>
      </w:tblGrid>
      <w:tr w:rsidR="00DC24F2" w:rsidRPr="00A36EB4" w:rsidTr="00DC24F2">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S/N </w:t>
            </w:r>
          </w:p>
        </w:tc>
        <w:tc>
          <w:tcPr>
            <w:tcW w:w="2645" w:type="dxa"/>
            <w:noWrap/>
            <w:hideMark/>
          </w:tcPr>
          <w:p w:rsidR="00DC24F2" w:rsidRPr="00A36EB4" w:rsidRDefault="00DC24F2" w:rsidP="00DC24F2">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Sub-Sector/SECTOR </w:t>
            </w:r>
          </w:p>
        </w:tc>
        <w:tc>
          <w:tcPr>
            <w:tcW w:w="1755" w:type="dxa"/>
            <w:hideMark/>
          </w:tcPr>
          <w:p w:rsidR="00DC24F2" w:rsidRPr="00A36EB4"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APPROVED BUDGET</w:t>
            </w:r>
            <w:r w:rsidRPr="00A36EB4">
              <w:rPr>
                <w:rFonts w:ascii="Calibri" w:eastAsia="Times New Roman" w:hAnsi="Calibri" w:cs="Times New Roman"/>
                <w:color w:val="000000"/>
                <w:sz w:val="20"/>
                <w:szCs w:val="20"/>
                <w:lang w:eastAsia="cy-GB"/>
              </w:rPr>
              <w:t xml:space="preserve"> </w:t>
            </w:r>
          </w:p>
        </w:tc>
        <w:tc>
          <w:tcPr>
            <w:tcW w:w="1755" w:type="dxa"/>
            <w:hideMark/>
          </w:tcPr>
          <w:p w:rsidR="00DC24F2" w:rsidRPr="00A36EB4"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FIRST QUARTER ESTIMATES           </w:t>
            </w:r>
          </w:p>
        </w:tc>
        <w:tc>
          <w:tcPr>
            <w:tcW w:w="1755" w:type="dxa"/>
            <w:hideMark/>
          </w:tcPr>
          <w:p w:rsidR="00DC24F2" w:rsidRPr="00A36EB4"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FIRST QUARTER ACTUAL                 </w:t>
            </w:r>
          </w:p>
        </w:tc>
        <w:tc>
          <w:tcPr>
            <w:tcW w:w="1515" w:type="dxa"/>
            <w:hideMark/>
          </w:tcPr>
          <w:p w:rsidR="00DC24F2" w:rsidRPr="00A36EB4"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PERFORMANCE LEVEL (%)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Agric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1,655,016,924.62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413,754,231.16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324,300,051.39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78.4 </w:t>
            </w:r>
          </w:p>
        </w:tc>
      </w:tr>
      <w:tr w:rsidR="00DC24F2" w:rsidRPr="00A36EB4" w:rsidTr="00DC24F2">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 </w:t>
            </w:r>
          </w:p>
        </w:tc>
        <w:tc>
          <w:tcPr>
            <w:tcW w:w="2645" w:type="dxa"/>
            <w:noWrap/>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Trade &amp; Industry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617,270,219.32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154,317,554.83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89,035,870.05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57.7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3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Infrastructure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2,835,263,144.41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708,815,786.10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443,322,043.44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62.5 </w:t>
            </w:r>
          </w:p>
        </w:tc>
      </w:tr>
      <w:tr w:rsidR="00DC24F2" w:rsidRPr="00A36EB4" w:rsidTr="00DC24F2">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4 </w:t>
            </w:r>
          </w:p>
        </w:tc>
        <w:tc>
          <w:tcPr>
            <w:tcW w:w="2645" w:type="dxa"/>
            <w:noWrap/>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Public Finance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9,903,348,719.20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2,475,837,179.80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2,754,986,491.09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111.3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A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TOTAL ECONOMIC SECTOR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15,010,899,007.55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3,752,724,751.89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3,611,644,455.97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96.2 </w:t>
            </w:r>
          </w:p>
        </w:tc>
      </w:tr>
      <w:tr w:rsidR="00DC24F2" w:rsidRPr="00A36EB4" w:rsidTr="00DC24F2">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 </w:t>
            </w:r>
          </w:p>
        </w:tc>
        <w:tc>
          <w:tcPr>
            <w:tcW w:w="2645" w:type="dxa"/>
            <w:noWrap/>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Education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25,612,012,981.18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6,403,003,245.30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5,511,668,248.76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86.1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Health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8,686,311,054.79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2,171,577,763.70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2,405,101,400.98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110.8 </w:t>
            </w:r>
          </w:p>
        </w:tc>
      </w:tr>
      <w:tr w:rsidR="00DC24F2" w:rsidRPr="00A36EB4" w:rsidTr="00DC24F2">
        <w:trPr>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3 </w:t>
            </w:r>
          </w:p>
        </w:tc>
        <w:tc>
          <w:tcPr>
            <w:tcW w:w="2645" w:type="dxa"/>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Social &amp; Community Development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1,953,554,586.67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488,388,646.67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287,289,028.50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58.8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4 </w:t>
            </w:r>
          </w:p>
        </w:tc>
        <w:tc>
          <w:tcPr>
            <w:tcW w:w="2645" w:type="dxa"/>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Environment &amp; Sewage Management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473,726,450.44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118,431,612.61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91,423,896.16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77.2 </w:t>
            </w:r>
          </w:p>
        </w:tc>
      </w:tr>
      <w:tr w:rsidR="00DC24F2" w:rsidRPr="00A36EB4" w:rsidTr="00DC24F2">
        <w:trPr>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B </w:t>
            </w:r>
          </w:p>
        </w:tc>
        <w:tc>
          <w:tcPr>
            <w:tcW w:w="2645" w:type="dxa"/>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TOTAL SOCIAL SERVICES SECTOR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36,725,605,073.08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9,181,401,268.27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8,295,482,574.40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90.4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Administration of Justice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2,671,116,819.40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667,779,204.85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506,917,699.99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75.9 </w:t>
            </w:r>
          </w:p>
        </w:tc>
      </w:tr>
      <w:tr w:rsidR="00DC24F2" w:rsidRPr="00A36EB4" w:rsidTr="00DC24F2">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C </w:t>
            </w:r>
          </w:p>
        </w:tc>
        <w:tc>
          <w:tcPr>
            <w:tcW w:w="2645" w:type="dxa"/>
            <w:noWrap/>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TOTAL LAW &amp; JUSTICE SECTOR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2,671,116,819.40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667,779,204.85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506,917,699.99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75.9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General Administration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6,725,639,290.71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1,681,409,822.68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952,818,169.54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56.7 </w:t>
            </w:r>
          </w:p>
        </w:tc>
      </w:tr>
      <w:tr w:rsidR="00DC24F2" w:rsidRPr="00A36EB4" w:rsidTr="00DC24F2">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 </w:t>
            </w:r>
          </w:p>
        </w:tc>
        <w:tc>
          <w:tcPr>
            <w:tcW w:w="2645" w:type="dxa"/>
            <w:noWrap/>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Legislative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3,572,471,147.68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893,117,786.92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334,060,661.30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37.4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3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Information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986,978,665.73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246,744,666.43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156,190,360.97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63.3 </w:t>
            </w:r>
          </w:p>
        </w:tc>
      </w:tr>
      <w:tr w:rsidR="00DC24F2" w:rsidRPr="00A36EB4" w:rsidTr="00DC24F2">
        <w:trPr>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D </w:t>
            </w:r>
          </w:p>
        </w:tc>
        <w:tc>
          <w:tcPr>
            <w:tcW w:w="2645" w:type="dxa"/>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TOTAL ADMINISTRATION SECTOR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11,285,089,104.12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2,821,272,276.03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1,443,069,191.81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51.1 </w:t>
            </w:r>
          </w:p>
        </w:tc>
      </w:tr>
      <w:tr w:rsidR="00DC24F2" w:rsidRPr="00A36EB4" w:rsidTr="00DC24F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xml:space="preserve"> E </w:t>
            </w:r>
          </w:p>
        </w:tc>
        <w:tc>
          <w:tcPr>
            <w:tcW w:w="2645" w:type="dxa"/>
            <w:noWrap/>
            <w:hideMark/>
          </w:tcPr>
          <w:p w:rsidR="00DC24F2" w:rsidRPr="00A36EB4"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CONSOLIDATED REVENUE FUND CHARGES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18,159,449,200.00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0"/>
                <w:szCs w:val="20"/>
                <w:lang w:eastAsia="cy-GB"/>
              </w:rPr>
            </w:pPr>
            <w:r w:rsidRPr="00A36EB4">
              <w:rPr>
                <w:rFonts w:ascii="Calibri" w:eastAsia="Times New Roman" w:hAnsi="Calibri" w:cs="Times New Roman"/>
                <w:color w:val="000000"/>
                <w:sz w:val="20"/>
                <w:szCs w:val="20"/>
                <w:lang w:eastAsia="cy-GB"/>
              </w:rPr>
              <w:t xml:space="preserve">      </w:t>
            </w:r>
            <w:r w:rsidRPr="00A36EB4">
              <w:rPr>
                <w:rFonts w:ascii="Calibri" w:eastAsia="Times New Roman" w:hAnsi="Calibri" w:cs="Times New Roman"/>
                <w:b/>
                <w:color w:val="000000"/>
                <w:sz w:val="20"/>
                <w:szCs w:val="20"/>
                <w:lang w:eastAsia="cy-GB"/>
              </w:rPr>
              <w:t xml:space="preserve">  4,539,862,300.00 </w:t>
            </w:r>
          </w:p>
        </w:tc>
        <w:tc>
          <w:tcPr>
            <w:tcW w:w="175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3,679,415,545.89 </w:t>
            </w:r>
          </w:p>
        </w:tc>
        <w:tc>
          <w:tcPr>
            <w:tcW w:w="1515" w:type="dxa"/>
            <w:noWrap/>
            <w:hideMark/>
          </w:tcPr>
          <w:p w:rsidR="00DC24F2" w:rsidRPr="00A36EB4"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81.0 </w:t>
            </w:r>
          </w:p>
        </w:tc>
      </w:tr>
      <w:tr w:rsidR="00DC24F2" w:rsidRPr="00A36EB4" w:rsidTr="00DC24F2">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A36EB4" w:rsidRDefault="00DC24F2" w:rsidP="00DC24F2">
            <w:pPr>
              <w:spacing w:after="0" w:line="240" w:lineRule="auto"/>
              <w:jc w:val="right"/>
              <w:rPr>
                <w:rFonts w:ascii="Calibri" w:eastAsia="Times New Roman" w:hAnsi="Calibri" w:cs="Times New Roman"/>
                <w:color w:val="000000"/>
                <w:sz w:val="20"/>
                <w:szCs w:val="20"/>
                <w:lang w:eastAsia="cy-GB"/>
              </w:rPr>
            </w:pPr>
            <w:r w:rsidRPr="00A36EB4">
              <w:rPr>
                <w:rFonts w:ascii="Calibri" w:eastAsia="Times New Roman" w:hAnsi="Calibri" w:cs="Times New Roman"/>
                <w:color w:val="000000"/>
                <w:sz w:val="20"/>
                <w:szCs w:val="20"/>
                <w:lang w:eastAsia="cy-GB"/>
              </w:rPr>
              <w:t> </w:t>
            </w:r>
          </w:p>
        </w:tc>
        <w:tc>
          <w:tcPr>
            <w:tcW w:w="2645" w:type="dxa"/>
            <w:noWrap/>
            <w:hideMark/>
          </w:tcPr>
          <w:p w:rsidR="00DC24F2" w:rsidRPr="00A36EB4"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GRAND TOTAL (A+B+C+D+E)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83,852,159,204.15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20,963,039,801.04 </w:t>
            </w:r>
          </w:p>
        </w:tc>
        <w:tc>
          <w:tcPr>
            <w:tcW w:w="175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17,536,529,468.06 </w:t>
            </w:r>
          </w:p>
        </w:tc>
        <w:tc>
          <w:tcPr>
            <w:tcW w:w="1515" w:type="dxa"/>
            <w:noWrap/>
            <w:hideMark/>
          </w:tcPr>
          <w:p w:rsidR="00DC24F2" w:rsidRPr="00A36EB4"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A36EB4">
              <w:rPr>
                <w:rFonts w:ascii="Calibri" w:eastAsia="Times New Roman" w:hAnsi="Calibri" w:cs="Times New Roman"/>
                <w:b/>
                <w:bCs/>
                <w:color w:val="000000"/>
                <w:sz w:val="20"/>
                <w:szCs w:val="20"/>
                <w:lang w:eastAsia="cy-GB"/>
              </w:rPr>
              <w:t xml:space="preserve">                               83.7 </w:t>
            </w:r>
          </w:p>
        </w:tc>
      </w:tr>
    </w:tbl>
    <w:p w:rsidR="00DC24F2" w:rsidRDefault="00DC24F2" w:rsidP="00DC24F2">
      <w:pPr>
        <w:pStyle w:val="NoSpacing"/>
        <w:tabs>
          <w:tab w:val="right" w:pos="9026"/>
        </w:tabs>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xml:space="preserve">: </w:t>
      </w:r>
      <w:r w:rsidRPr="005F786B">
        <w:rPr>
          <w:rFonts w:ascii="Tahoma" w:hAnsi="Tahoma" w:cs="Tahoma"/>
          <w:i/>
          <w:szCs w:val="24"/>
        </w:rPr>
        <w:t>Office of the Accountant-General and other MEDAs</w:t>
      </w:r>
      <w:r>
        <w:rPr>
          <w:rFonts w:ascii="Tahoma" w:hAnsi="Tahoma" w:cs="Tahoma"/>
          <w:i/>
          <w:szCs w:val="24"/>
        </w:rPr>
        <w:t>, Ondo State</w:t>
      </w:r>
      <w:r>
        <w:rPr>
          <w:rFonts w:ascii="Tahoma" w:hAnsi="Tahoma" w:cs="Tahoma"/>
          <w:sz w:val="24"/>
          <w:szCs w:val="24"/>
        </w:rPr>
        <w:tab/>
      </w:r>
    </w:p>
    <w:p w:rsidR="00DC24F2" w:rsidRPr="00066E96" w:rsidRDefault="00DC24F2" w:rsidP="00DC24F2">
      <w:pPr>
        <w:pStyle w:val="NoSpacing"/>
        <w:tabs>
          <w:tab w:val="right" w:pos="9026"/>
        </w:tabs>
        <w:spacing w:line="480" w:lineRule="auto"/>
        <w:jc w:val="both"/>
        <w:rPr>
          <w:rFonts w:ascii="Tahoma" w:hAnsi="Tahoma" w:cs="Tahoma"/>
          <w:sz w:val="24"/>
          <w:szCs w:val="24"/>
        </w:rPr>
      </w:pPr>
      <w:r>
        <w:rPr>
          <w:rFonts w:ascii="Tahoma" w:hAnsi="Tahoma" w:cs="Tahoma"/>
          <w:sz w:val="28"/>
          <w:szCs w:val="28"/>
        </w:rPr>
        <w:t xml:space="preserve">The first quarter sectoral actual recurrent expenditure was </w:t>
      </w:r>
      <w:r w:rsidRPr="00DF613C">
        <w:rPr>
          <w:rFonts w:ascii="Tahoma" w:hAnsi="Tahoma" w:cs="Tahoma"/>
          <w:dstrike/>
          <w:sz w:val="28"/>
          <w:szCs w:val="28"/>
        </w:rPr>
        <w:t>N</w:t>
      </w:r>
      <w:r>
        <w:rPr>
          <w:rFonts w:ascii="Tahoma" w:hAnsi="Tahoma" w:cs="Tahoma"/>
          <w:sz w:val="28"/>
          <w:szCs w:val="28"/>
        </w:rPr>
        <w:t>17.537 billion against the quarter</w:t>
      </w:r>
      <w:r w:rsidRPr="00721306">
        <w:rPr>
          <w:rFonts w:ascii="Tahoma" w:hAnsi="Tahoma" w:cs="Tahoma"/>
          <w:sz w:val="28"/>
          <w:szCs w:val="28"/>
        </w:rPr>
        <w:t xml:space="preserve"> </w:t>
      </w:r>
      <w:r>
        <w:rPr>
          <w:rFonts w:ascii="Tahoma" w:hAnsi="Tahoma" w:cs="Tahoma"/>
          <w:sz w:val="28"/>
          <w:szCs w:val="28"/>
        </w:rPr>
        <w:t xml:space="preserve">estimates of </w:t>
      </w:r>
      <w:r w:rsidRPr="00DF613C">
        <w:rPr>
          <w:rFonts w:ascii="Tahoma" w:hAnsi="Tahoma" w:cs="Tahoma"/>
          <w:dstrike/>
          <w:sz w:val="28"/>
          <w:szCs w:val="28"/>
        </w:rPr>
        <w:t>N</w:t>
      </w:r>
      <w:r>
        <w:rPr>
          <w:rFonts w:ascii="Tahoma" w:hAnsi="Tahoma" w:cs="Tahoma"/>
          <w:sz w:val="28"/>
          <w:szCs w:val="28"/>
        </w:rPr>
        <w:t xml:space="preserve">20.963 billion. This represents 83.7% </w:t>
      </w:r>
      <w:r>
        <w:rPr>
          <w:rFonts w:ascii="Tahoma" w:hAnsi="Tahoma" w:cs="Tahoma"/>
          <w:sz w:val="28"/>
          <w:szCs w:val="28"/>
        </w:rPr>
        <w:lastRenderedPageBreak/>
        <w:t xml:space="preserve">overall </w:t>
      </w:r>
      <w:r w:rsidRPr="00721306">
        <w:rPr>
          <w:rFonts w:ascii="Tahoma" w:hAnsi="Tahoma" w:cs="Tahoma"/>
          <w:sz w:val="28"/>
          <w:szCs w:val="28"/>
        </w:rPr>
        <w:t>p</w:t>
      </w:r>
      <w:r>
        <w:rPr>
          <w:rFonts w:ascii="Tahoma" w:hAnsi="Tahoma" w:cs="Tahoma"/>
          <w:sz w:val="28"/>
          <w:szCs w:val="28"/>
        </w:rPr>
        <w:t>erformance level for the quarter</w:t>
      </w:r>
      <w:r w:rsidRPr="00721306">
        <w:rPr>
          <w:rFonts w:ascii="Tahoma" w:hAnsi="Tahoma" w:cs="Tahoma"/>
          <w:sz w:val="28"/>
          <w:szCs w:val="28"/>
        </w:rPr>
        <w:t>.</w:t>
      </w:r>
      <w:r>
        <w:rPr>
          <w:rFonts w:ascii="Tahoma" w:hAnsi="Tahoma" w:cs="Tahoma"/>
          <w:sz w:val="28"/>
          <w:szCs w:val="28"/>
        </w:rPr>
        <w:t xml:space="preserve"> </w:t>
      </w:r>
      <w:r>
        <w:rPr>
          <w:rFonts w:ascii="Tahoma" w:hAnsi="Tahoma" w:cs="Tahoma"/>
          <w:sz w:val="28"/>
          <w:szCs w:val="24"/>
        </w:rPr>
        <w:t xml:space="preserve">In the classifications of Economic sector, Social Services Sector, Law &amp; Justice Sector, Administration Sector and Consolidated Revenue Fund Charges, the Social services sector recorded the highest actual recurrent expenditure of </w:t>
      </w:r>
      <w:r w:rsidRPr="00DF613C">
        <w:rPr>
          <w:rFonts w:ascii="Tahoma" w:hAnsi="Tahoma" w:cs="Tahoma"/>
          <w:dstrike/>
          <w:sz w:val="28"/>
          <w:szCs w:val="28"/>
        </w:rPr>
        <w:t>N</w:t>
      </w:r>
      <w:r>
        <w:rPr>
          <w:rFonts w:ascii="Tahoma" w:hAnsi="Tahoma" w:cs="Tahoma"/>
          <w:sz w:val="28"/>
          <w:szCs w:val="28"/>
        </w:rPr>
        <w:t xml:space="preserve">8.295 billion, representing 90.4% performance level when compared with the quarter estimates of </w:t>
      </w:r>
      <w:r w:rsidRPr="00DF613C">
        <w:rPr>
          <w:rFonts w:ascii="Tahoma" w:hAnsi="Tahoma" w:cs="Tahoma"/>
          <w:dstrike/>
          <w:sz w:val="28"/>
          <w:szCs w:val="28"/>
        </w:rPr>
        <w:t>N</w:t>
      </w:r>
      <w:r>
        <w:rPr>
          <w:rFonts w:ascii="Tahoma" w:hAnsi="Tahoma" w:cs="Tahoma"/>
          <w:sz w:val="28"/>
          <w:szCs w:val="28"/>
        </w:rPr>
        <w:t xml:space="preserve">9.181 billion. </w:t>
      </w:r>
      <w:r>
        <w:rPr>
          <w:rFonts w:ascii="Tahoma" w:hAnsi="Tahoma" w:cs="Tahoma"/>
          <w:sz w:val="28"/>
          <w:szCs w:val="24"/>
        </w:rPr>
        <w:t xml:space="preserve">On the other hand, Law &amp; Justice Sector recorded the least actual recurrent expenditure of </w:t>
      </w:r>
      <w:r w:rsidRPr="00DF613C">
        <w:rPr>
          <w:rFonts w:ascii="Tahoma" w:hAnsi="Tahoma" w:cs="Tahoma"/>
          <w:dstrike/>
          <w:sz w:val="28"/>
          <w:szCs w:val="28"/>
        </w:rPr>
        <w:t>N</w:t>
      </w:r>
      <w:r>
        <w:rPr>
          <w:rFonts w:ascii="Tahoma" w:hAnsi="Tahoma" w:cs="Tahoma"/>
          <w:sz w:val="28"/>
          <w:szCs w:val="28"/>
        </w:rPr>
        <w:t>0.507 billion</w:t>
      </w:r>
      <w:r>
        <w:rPr>
          <w:rFonts w:ascii="Tahoma" w:hAnsi="Tahoma" w:cs="Tahoma"/>
          <w:sz w:val="28"/>
          <w:szCs w:val="24"/>
        </w:rPr>
        <w:t xml:space="preserve"> for the first quarter of the year 2019. </w:t>
      </w:r>
    </w:p>
    <w:p w:rsidR="00DC24F2" w:rsidRDefault="00DC24F2" w:rsidP="00E962AA">
      <w:pPr>
        <w:pStyle w:val="NoSpacing"/>
        <w:ind w:left="1843" w:hanging="1843"/>
        <w:jc w:val="both"/>
        <w:rPr>
          <w:rFonts w:ascii="Tahoma" w:hAnsi="Tahoma" w:cs="Tahoma"/>
          <w:b/>
          <w:sz w:val="28"/>
          <w:szCs w:val="28"/>
        </w:rPr>
      </w:pPr>
      <w:r w:rsidRPr="00FE1524">
        <w:rPr>
          <w:rFonts w:ascii="Tahoma" w:hAnsi="Tahoma" w:cs="Tahoma"/>
          <w:b/>
          <w:sz w:val="28"/>
          <w:szCs w:val="28"/>
        </w:rPr>
        <w:t>Figure 3.</w:t>
      </w:r>
      <w:r>
        <w:rPr>
          <w:rFonts w:ascii="Tahoma" w:hAnsi="Tahoma" w:cs="Tahoma"/>
          <w:b/>
          <w:sz w:val="28"/>
          <w:szCs w:val="28"/>
        </w:rPr>
        <w:t>12</w:t>
      </w:r>
      <w:r w:rsidRPr="00FE1524">
        <w:rPr>
          <w:rFonts w:ascii="Tahoma" w:hAnsi="Tahoma" w:cs="Tahoma"/>
          <w:b/>
          <w:sz w:val="28"/>
          <w:szCs w:val="28"/>
        </w:rPr>
        <w:t>: Bar Chart Showing</w:t>
      </w:r>
      <w:r>
        <w:rPr>
          <w:rFonts w:ascii="Tahoma" w:hAnsi="Tahoma" w:cs="Tahoma"/>
          <w:b/>
          <w:sz w:val="28"/>
          <w:szCs w:val="28"/>
        </w:rPr>
        <w:t xml:space="preserve"> First Quarter </w:t>
      </w:r>
      <w:r w:rsidRPr="00FE1524">
        <w:rPr>
          <w:rFonts w:ascii="Tahoma" w:hAnsi="Tahoma" w:cs="Tahoma"/>
          <w:b/>
          <w:sz w:val="28"/>
          <w:szCs w:val="28"/>
        </w:rPr>
        <w:t>Secto</w:t>
      </w:r>
      <w:r>
        <w:rPr>
          <w:rFonts w:ascii="Tahoma" w:hAnsi="Tahoma" w:cs="Tahoma"/>
          <w:b/>
          <w:sz w:val="28"/>
          <w:szCs w:val="28"/>
        </w:rPr>
        <w:t>ral Recurrent Expenditure</w:t>
      </w:r>
    </w:p>
    <w:p w:rsidR="00DC24F2" w:rsidRDefault="00DC24F2" w:rsidP="00DC24F2">
      <w:r>
        <w:rPr>
          <w:noProof/>
          <w:lang w:eastAsia="cy-GB"/>
        </w:rPr>
        <w:drawing>
          <wp:inline distT="0" distB="0" distL="0" distR="0" wp14:anchorId="6B26F96E" wp14:editId="513BE04E">
            <wp:extent cx="5715000" cy="3962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51B3C" w:rsidRDefault="00A51B3C" w:rsidP="00DC24F2">
      <w:pPr>
        <w:pStyle w:val="NoSpacing"/>
        <w:spacing w:line="480" w:lineRule="auto"/>
        <w:jc w:val="both"/>
        <w:rPr>
          <w:rFonts w:ascii="Tahoma" w:hAnsi="Tahoma" w:cs="Tahoma"/>
          <w:b/>
          <w:sz w:val="28"/>
          <w:szCs w:val="28"/>
        </w:rPr>
      </w:pPr>
    </w:p>
    <w:p w:rsidR="00A51B3C" w:rsidRDefault="00A51B3C" w:rsidP="00DC24F2">
      <w:pPr>
        <w:pStyle w:val="NoSpacing"/>
        <w:spacing w:line="480" w:lineRule="auto"/>
        <w:jc w:val="both"/>
        <w:rPr>
          <w:rFonts w:ascii="Tahoma" w:hAnsi="Tahoma" w:cs="Tahoma"/>
          <w:b/>
          <w:sz w:val="28"/>
          <w:szCs w:val="28"/>
        </w:rPr>
      </w:pPr>
    </w:p>
    <w:p w:rsidR="00A51B3C" w:rsidRDefault="00A51B3C" w:rsidP="00DC24F2">
      <w:pPr>
        <w:pStyle w:val="NoSpacing"/>
        <w:spacing w:line="480" w:lineRule="auto"/>
        <w:jc w:val="both"/>
        <w:rPr>
          <w:rFonts w:ascii="Tahoma" w:hAnsi="Tahoma" w:cs="Tahoma"/>
          <w:b/>
          <w:sz w:val="28"/>
          <w:szCs w:val="28"/>
        </w:rPr>
      </w:pPr>
    </w:p>
    <w:p w:rsidR="00DC24F2" w:rsidRDefault="00DC24F2" w:rsidP="00DC24F2">
      <w:pPr>
        <w:pStyle w:val="NoSpacing"/>
        <w:spacing w:line="480" w:lineRule="auto"/>
        <w:jc w:val="both"/>
        <w:rPr>
          <w:rFonts w:ascii="Tahoma" w:hAnsi="Tahoma" w:cs="Tahoma"/>
          <w:b/>
          <w:sz w:val="28"/>
          <w:szCs w:val="28"/>
        </w:rPr>
      </w:pPr>
      <w:r>
        <w:rPr>
          <w:rFonts w:ascii="Tahoma" w:hAnsi="Tahoma" w:cs="Tahoma"/>
          <w:b/>
          <w:sz w:val="28"/>
          <w:szCs w:val="28"/>
        </w:rPr>
        <w:lastRenderedPageBreak/>
        <w:t>3.3</w:t>
      </w:r>
      <w:r>
        <w:rPr>
          <w:rFonts w:ascii="Tahoma" w:hAnsi="Tahoma" w:cs="Tahoma"/>
          <w:b/>
          <w:sz w:val="28"/>
          <w:szCs w:val="28"/>
        </w:rPr>
        <w:tab/>
        <w:t xml:space="preserve">     STATUTORY TRANSFERS</w:t>
      </w:r>
    </w:p>
    <w:p w:rsidR="00DC24F2" w:rsidRPr="00B0766E" w:rsidRDefault="00DC24F2" w:rsidP="00DC24F2">
      <w:pPr>
        <w:pStyle w:val="NoSpacing"/>
        <w:spacing w:line="480" w:lineRule="auto"/>
        <w:ind w:firstLine="720"/>
        <w:jc w:val="both"/>
        <w:rPr>
          <w:rFonts w:ascii="Tahoma" w:hAnsi="Tahoma" w:cs="Tahoma"/>
          <w:sz w:val="28"/>
          <w:szCs w:val="28"/>
        </w:rPr>
      </w:pPr>
      <w:r w:rsidRPr="00634E43">
        <w:rPr>
          <w:rFonts w:ascii="Tahoma" w:hAnsi="Tahoma" w:cs="Tahoma"/>
          <w:sz w:val="24"/>
          <w:szCs w:val="24"/>
        </w:rPr>
        <w:t xml:space="preserve">     </w:t>
      </w:r>
      <w:r>
        <w:rPr>
          <w:rFonts w:ascii="Tahoma" w:hAnsi="Tahoma" w:cs="Tahoma"/>
          <w:sz w:val="28"/>
          <w:szCs w:val="28"/>
        </w:rPr>
        <w:t xml:space="preserve">With quarter estimates of </w:t>
      </w:r>
      <w:r w:rsidRPr="00825BFF">
        <w:rPr>
          <w:rFonts w:ascii="Tahoma" w:hAnsi="Tahoma" w:cs="Tahoma"/>
          <w:dstrike/>
          <w:sz w:val="28"/>
          <w:szCs w:val="28"/>
        </w:rPr>
        <w:t>N</w:t>
      </w:r>
      <w:r>
        <w:rPr>
          <w:rFonts w:ascii="Tahoma" w:hAnsi="Tahoma" w:cs="Tahoma"/>
          <w:sz w:val="28"/>
          <w:szCs w:val="28"/>
        </w:rPr>
        <w:t xml:space="preserve">2.392 billion, actual Statutory Transfers to </w:t>
      </w:r>
      <w:r>
        <w:rPr>
          <w:rFonts w:ascii="Tahoma" w:hAnsi="Tahoma" w:cs="Tahoma"/>
          <w:sz w:val="28"/>
          <w:szCs w:val="24"/>
        </w:rPr>
        <w:t>OSOPADEC and Local Governments</w:t>
      </w:r>
      <w:r>
        <w:rPr>
          <w:rFonts w:ascii="Tahoma" w:hAnsi="Tahoma" w:cs="Tahoma"/>
          <w:sz w:val="28"/>
          <w:szCs w:val="28"/>
        </w:rPr>
        <w:t xml:space="preserve"> for the 2019 first quarter was </w:t>
      </w:r>
      <w:r w:rsidRPr="00825BFF">
        <w:rPr>
          <w:rFonts w:ascii="Tahoma" w:hAnsi="Tahoma" w:cs="Tahoma"/>
          <w:dstrike/>
          <w:sz w:val="28"/>
          <w:szCs w:val="28"/>
        </w:rPr>
        <w:t>N</w:t>
      </w:r>
      <w:r>
        <w:rPr>
          <w:rFonts w:ascii="Tahoma" w:hAnsi="Tahoma" w:cs="Tahoma"/>
          <w:sz w:val="28"/>
          <w:szCs w:val="28"/>
        </w:rPr>
        <w:t xml:space="preserve">0.930 billion, representing 38.9% performance level for the quarter while the corresponding 2018 first quarter actual of </w:t>
      </w:r>
      <w:r w:rsidRPr="00DF613C">
        <w:rPr>
          <w:rFonts w:ascii="Tahoma" w:hAnsi="Tahoma" w:cs="Tahoma"/>
          <w:dstrike/>
          <w:sz w:val="28"/>
          <w:szCs w:val="28"/>
        </w:rPr>
        <w:t>N</w:t>
      </w:r>
      <w:r>
        <w:rPr>
          <w:rFonts w:ascii="Tahoma" w:hAnsi="Tahoma" w:cs="Tahoma"/>
          <w:sz w:val="28"/>
          <w:szCs w:val="28"/>
        </w:rPr>
        <w:t>0.767 billion recorded a performance of 36.9%.</w:t>
      </w:r>
    </w:p>
    <w:p w:rsidR="00DC24F2" w:rsidRPr="00EB35B8" w:rsidRDefault="00DC24F2" w:rsidP="00DC24F2">
      <w:pPr>
        <w:pStyle w:val="NoSpacing"/>
        <w:tabs>
          <w:tab w:val="left" w:pos="3119"/>
        </w:tabs>
        <w:jc w:val="both"/>
        <w:rPr>
          <w:rFonts w:ascii="Tahoma" w:hAnsi="Tahoma" w:cs="Tahoma"/>
          <w:sz w:val="24"/>
          <w:szCs w:val="24"/>
        </w:rPr>
      </w:pPr>
      <w:r>
        <w:rPr>
          <w:rFonts w:ascii="Tahoma" w:hAnsi="Tahoma" w:cs="Tahoma"/>
          <w:b/>
          <w:sz w:val="28"/>
          <w:szCs w:val="24"/>
        </w:rPr>
        <w:t>Table 3.7</w:t>
      </w:r>
      <w:r w:rsidRPr="00C2333E">
        <w:rPr>
          <w:rFonts w:ascii="Tahoma" w:hAnsi="Tahoma" w:cs="Tahoma"/>
          <w:b/>
          <w:sz w:val="28"/>
          <w:szCs w:val="24"/>
        </w:rPr>
        <w:t xml:space="preserve">: </w:t>
      </w:r>
      <w:r>
        <w:rPr>
          <w:rFonts w:ascii="Tahoma" w:hAnsi="Tahoma" w:cs="Tahoma"/>
          <w:b/>
          <w:sz w:val="28"/>
          <w:szCs w:val="24"/>
        </w:rPr>
        <w:t xml:space="preserve">Details of First Quarter </w:t>
      </w:r>
      <w:r w:rsidRPr="00EA7897">
        <w:rPr>
          <w:rFonts w:ascii="Tahoma" w:hAnsi="Tahoma" w:cs="Tahoma"/>
          <w:b/>
          <w:sz w:val="28"/>
          <w:szCs w:val="24"/>
        </w:rPr>
        <w:t>Statutory Transfers</w:t>
      </w:r>
    </w:p>
    <w:tbl>
      <w:tblPr>
        <w:tblStyle w:val="GridTable5Dark-Accent6"/>
        <w:tblW w:w="9775" w:type="dxa"/>
        <w:tblLook w:val="04A0" w:firstRow="1" w:lastRow="0" w:firstColumn="1" w:lastColumn="0" w:noHBand="0" w:noVBand="1"/>
      </w:tblPr>
      <w:tblGrid>
        <w:gridCol w:w="533"/>
        <w:gridCol w:w="2780"/>
        <w:gridCol w:w="1703"/>
        <w:gridCol w:w="1738"/>
        <w:gridCol w:w="1502"/>
        <w:gridCol w:w="1519"/>
      </w:tblGrid>
      <w:tr w:rsidR="00DC24F2" w:rsidRPr="00F45362" w:rsidTr="00DC24F2">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33" w:type="dxa"/>
            <w:vMerge w:val="restart"/>
            <w:noWrap/>
            <w:hideMark/>
          </w:tcPr>
          <w:p w:rsidR="00DC24F2" w:rsidRPr="00F45362" w:rsidRDefault="00DC24F2" w:rsidP="00DC24F2">
            <w:pPr>
              <w:spacing w:after="0" w:line="240" w:lineRule="auto"/>
              <w:jc w:val="center"/>
              <w:rPr>
                <w:rFonts w:ascii="Calibri" w:eastAsia="Times New Roman" w:hAnsi="Calibri" w:cs="Times New Roman"/>
                <w:b w:val="0"/>
                <w:bCs w:val="0"/>
                <w:color w:val="000000"/>
                <w:sz w:val="20"/>
                <w:szCs w:val="20"/>
                <w:lang w:eastAsia="cy-GB"/>
              </w:rPr>
            </w:pPr>
            <w:r w:rsidRPr="00F45362">
              <w:rPr>
                <w:rFonts w:ascii="Calibri" w:eastAsia="Times New Roman" w:hAnsi="Calibri" w:cs="Times New Roman"/>
                <w:b w:val="0"/>
                <w:bCs w:val="0"/>
                <w:color w:val="000000"/>
                <w:sz w:val="20"/>
                <w:szCs w:val="20"/>
                <w:lang w:eastAsia="cy-GB"/>
              </w:rPr>
              <w:t>S/N</w:t>
            </w:r>
          </w:p>
        </w:tc>
        <w:tc>
          <w:tcPr>
            <w:tcW w:w="2780" w:type="dxa"/>
            <w:vMerge w:val="restart"/>
            <w:hideMark/>
          </w:tcPr>
          <w:p w:rsidR="00DC24F2" w:rsidRPr="00F45362" w:rsidRDefault="00DC24F2" w:rsidP="00DC24F2">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F45362">
              <w:rPr>
                <w:rFonts w:ascii="Calibri" w:eastAsia="Times New Roman" w:hAnsi="Calibri" w:cs="Times New Roman"/>
                <w:b w:val="0"/>
                <w:bCs w:val="0"/>
                <w:color w:val="000000"/>
                <w:sz w:val="20"/>
                <w:szCs w:val="20"/>
                <w:lang w:eastAsia="cy-GB"/>
              </w:rPr>
              <w:t>PARTICULARS</w:t>
            </w:r>
          </w:p>
        </w:tc>
        <w:tc>
          <w:tcPr>
            <w:tcW w:w="1703" w:type="dxa"/>
            <w:vMerge w:val="restart"/>
            <w:hideMark/>
          </w:tcPr>
          <w:p w:rsidR="00DC24F2" w:rsidRPr="00F4536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F45362">
              <w:rPr>
                <w:rFonts w:ascii="Calibri" w:eastAsia="Times New Roman" w:hAnsi="Calibri" w:cs="Times New Roman"/>
                <w:b w:val="0"/>
                <w:bCs w:val="0"/>
                <w:color w:val="000000"/>
                <w:sz w:val="20"/>
                <w:szCs w:val="20"/>
                <w:lang w:eastAsia="cy-GB"/>
              </w:rPr>
              <w:t>APPROVED BUDGET</w:t>
            </w:r>
          </w:p>
        </w:tc>
        <w:tc>
          <w:tcPr>
            <w:tcW w:w="1738" w:type="dxa"/>
            <w:vMerge w:val="restart"/>
            <w:hideMark/>
          </w:tcPr>
          <w:p w:rsidR="00DC24F2" w:rsidRPr="00F4536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F45362">
              <w:rPr>
                <w:rFonts w:ascii="Calibri" w:eastAsia="Times New Roman" w:hAnsi="Calibri" w:cs="Times New Roman"/>
                <w:b w:val="0"/>
                <w:bCs w:val="0"/>
                <w:color w:val="000000"/>
                <w:sz w:val="20"/>
                <w:szCs w:val="20"/>
                <w:lang w:eastAsia="cy-GB"/>
              </w:rPr>
              <w:t>FIRST QUARTER ESTIMATES</w:t>
            </w:r>
          </w:p>
        </w:tc>
        <w:tc>
          <w:tcPr>
            <w:tcW w:w="1502" w:type="dxa"/>
            <w:vMerge w:val="restart"/>
            <w:hideMark/>
          </w:tcPr>
          <w:p w:rsidR="00DC24F2" w:rsidRPr="00F4536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F45362">
              <w:rPr>
                <w:rFonts w:ascii="Calibri" w:eastAsia="Times New Roman" w:hAnsi="Calibri" w:cs="Times New Roman"/>
                <w:b w:val="0"/>
                <w:bCs w:val="0"/>
                <w:color w:val="000000"/>
                <w:sz w:val="20"/>
                <w:szCs w:val="20"/>
                <w:lang w:eastAsia="cy-GB"/>
              </w:rPr>
              <w:t>FIRST QUARTER ACTUAL</w:t>
            </w:r>
          </w:p>
        </w:tc>
        <w:tc>
          <w:tcPr>
            <w:tcW w:w="1519" w:type="dxa"/>
            <w:vMerge w:val="restart"/>
            <w:hideMark/>
          </w:tcPr>
          <w:p w:rsidR="00DC24F2" w:rsidRPr="00F45362"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F45362">
              <w:rPr>
                <w:rFonts w:ascii="Calibri" w:eastAsia="Times New Roman" w:hAnsi="Calibri" w:cs="Times New Roman"/>
                <w:b w:val="0"/>
                <w:bCs w:val="0"/>
                <w:color w:val="000000"/>
                <w:sz w:val="20"/>
                <w:szCs w:val="20"/>
                <w:lang w:eastAsia="cy-GB"/>
              </w:rPr>
              <w:t>PERFORMANCE LEVEL (%)</w:t>
            </w:r>
          </w:p>
        </w:tc>
      </w:tr>
      <w:tr w:rsidR="00DC24F2" w:rsidRPr="00F45362" w:rsidTr="00DC24F2">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33" w:type="dxa"/>
            <w:vMerge/>
            <w:hideMark/>
          </w:tcPr>
          <w:p w:rsidR="00DC24F2" w:rsidRPr="00F45362" w:rsidRDefault="00DC24F2" w:rsidP="00DC24F2">
            <w:pPr>
              <w:spacing w:after="0" w:line="240" w:lineRule="auto"/>
              <w:rPr>
                <w:rFonts w:ascii="Calibri" w:eastAsia="Times New Roman" w:hAnsi="Calibri" w:cs="Times New Roman"/>
                <w:b w:val="0"/>
                <w:bCs w:val="0"/>
                <w:color w:val="000000"/>
                <w:sz w:val="20"/>
                <w:szCs w:val="20"/>
                <w:lang w:eastAsia="cy-GB"/>
              </w:rPr>
            </w:pPr>
          </w:p>
        </w:tc>
        <w:tc>
          <w:tcPr>
            <w:tcW w:w="2780" w:type="dxa"/>
            <w:vMerge/>
            <w:hideMark/>
          </w:tcPr>
          <w:p w:rsidR="00DC24F2" w:rsidRPr="00F4536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c>
          <w:tcPr>
            <w:tcW w:w="1703" w:type="dxa"/>
            <w:vMerge/>
            <w:hideMark/>
          </w:tcPr>
          <w:p w:rsidR="00DC24F2" w:rsidRPr="00F4536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c>
          <w:tcPr>
            <w:tcW w:w="1738" w:type="dxa"/>
            <w:vMerge/>
            <w:hideMark/>
          </w:tcPr>
          <w:p w:rsidR="00DC24F2" w:rsidRPr="00F4536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c>
          <w:tcPr>
            <w:tcW w:w="1502" w:type="dxa"/>
            <w:vMerge/>
            <w:hideMark/>
          </w:tcPr>
          <w:p w:rsidR="00DC24F2" w:rsidRPr="00F4536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c>
          <w:tcPr>
            <w:tcW w:w="1519" w:type="dxa"/>
            <w:vMerge/>
            <w:hideMark/>
          </w:tcPr>
          <w:p w:rsidR="00DC24F2" w:rsidRPr="00F4536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p>
        </w:tc>
      </w:tr>
      <w:tr w:rsidR="00DC24F2" w:rsidRPr="00F45362" w:rsidTr="00DC24F2">
        <w:trPr>
          <w:trHeight w:val="836"/>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F45362" w:rsidRDefault="00DC24F2" w:rsidP="00DC24F2">
            <w:pPr>
              <w:spacing w:after="0" w:line="240" w:lineRule="auto"/>
              <w:jc w:val="center"/>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1</w:t>
            </w:r>
          </w:p>
        </w:tc>
        <w:tc>
          <w:tcPr>
            <w:tcW w:w="2780" w:type="dxa"/>
            <w:hideMark/>
          </w:tcPr>
          <w:p w:rsidR="00DC24F2" w:rsidRPr="00F4536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TRANSFER TO LOCAL GOVERNMENT JOINT ACCOUNT (10%)</w:t>
            </w:r>
          </w:p>
        </w:tc>
        <w:tc>
          <w:tcPr>
            <w:tcW w:w="1703"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2,500,000,000.00</w:t>
            </w:r>
          </w:p>
        </w:tc>
        <w:tc>
          <w:tcPr>
            <w:tcW w:w="1738"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625,000,000.00</w:t>
            </w:r>
          </w:p>
        </w:tc>
        <w:tc>
          <w:tcPr>
            <w:tcW w:w="1502"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52,963,150.00</w:t>
            </w:r>
          </w:p>
        </w:tc>
        <w:tc>
          <w:tcPr>
            <w:tcW w:w="1519"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8.5</w:t>
            </w:r>
          </w:p>
        </w:tc>
      </w:tr>
      <w:tr w:rsidR="00DC24F2" w:rsidRPr="00F45362" w:rsidTr="00DC24F2">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F45362" w:rsidRDefault="00DC24F2" w:rsidP="00DC24F2">
            <w:pPr>
              <w:spacing w:after="0" w:line="240" w:lineRule="auto"/>
              <w:jc w:val="center"/>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2</w:t>
            </w:r>
          </w:p>
        </w:tc>
        <w:tc>
          <w:tcPr>
            <w:tcW w:w="2780" w:type="dxa"/>
            <w:noWrap/>
            <w:hideMark/>
          </w:tcPr>
          <w:p w:rsidR="00DC24F2" w:rsidRPr="00F45362"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TRANSFER TO OSOPADEC</w:t>
            </w:r>
          </w:p>
        </w:tc>
        <w:tc>
          <w:tcPr>
            <w:tcW w:w="1703" w:type="dxa"/>
            <w:noWrap/>
            <w:hideMark/>
          </w:tcPr>
          <w:p w:rsidR="00DC24F2" w:rsidRPr="00F45362"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7,068,537,435.40</w:t>
            </w:r>
          </w:p>
        </w:tc>
        <w:tc>
          <w:tcPr>
            <w:tcW w:w="1738" w:type="dxa"/>
            <w:noWrap/>
            <w:hideMark/>
          </w:tcPr>
          <w:p w:rsidR="00DC24F2" w:rsidRPr="00F45362"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1,767,134,358.85</w:t>
            </w:r>
          </w:p>
        </w:tc>
        <w:tc>
          <w:tcPr>
            <w:tcW w:w="1502" w:type="dxa"/>
            <w:noWrap/>
            <w:hideMark/>
          </w:tcPr>
          <w:p w:rsidR="00DC24F2" w:rsidRPr="00F45362"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877,018,556.94</w:t>
            </w:r>
          </w:p>
        </w:tc>
        <w:tc>
          <w:tcPr>
            <w:tcW w:w="1519" w:type="dxa"/>
            <w:noWrap/>
            <w:hideMark/>
          </w:tcPr>
          <w:p w:rsidR="00DC24F2" w:rsidRPr="00F45362"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F45362">
              <w:rPr>
                <w:rFonts w:ascii="Calibri" w:eastAsia="Times New Roman" w:hAnsi="Calibri" w:cs="Times New Roman"/>
                <w:color w:val="000000"/>
                <w:sz w:val="20"/>
                <w:szCs w:val="20"/>
                <w:lang w:eastAsia="cy-GB"/>
              </w:rPr>
              <w:t>49.6</w:t>
            </w:r>
          </w:p>
        </w:tc>
      </w:tr>
      <w:tr w:rsidR="00DC24F2" w:rsidRPr="00F45362" w:rsidTr="00DC24F2">
        <w:trPr>
          <w:trHeight w:val="455"/>
        </w:trPr>
        <w:tc>
          <w:tcPr>
            <w:cnfStyle w:val="001000000000" w:firstRow="0" w:lastRow="0" w:firstColumn="1" w:lastColumn="0" w:oddVBand="0" w:evenVBand="0" w:oddHBand="0" w:evenHBand="0" w:firstRowFirstColumn="0" w:firstRowLastColumn="0" w:lastRowFirstColumn="0" w:lastRowLastColumn="0"/>
            <w:tcW w:w="533" w:type="dxa"/>
            <w:noWrap/>
            <w:hideMark/>
          </w:tcPr>
          <w:p w:rsidR="00DC24F2" w:rsidRPr="00F45362" w:rsidRDefault="00DC24F2" w:rsidP="00DC24F2">
            <w:pPr>
              <w:spacing w:after="0" w:line="240" w:lineRule="auto"/>
              <w:rPr>
                <w:rFonts w:ascii="Calibri" w:eastAsia="Times New Roman" w:hAnsi="Calibri" w:cs="Times New Roman"/>
                <w:b w:val="0"/>
                <w:bCs w:val="0"/>
                <w:color w:val="000000"/>
                <w:sz w:val="20"/>
                <w:szCs w:val="20"/>
                <w:lang w:eastAsia="cy-GB"/>
              </w:rPr>
            </w:pPr>
            <w:r w:rsidRPr="00F45362">
              <w:rPr>
                <w:rFonts w:ascii="Calibri" w:eastAsia="Times New Roman" w:hAnsi="Calibri" w:cs="Times New Roman"/>
                <w:b w:val="0"/>
                <w:bCs w:val="0"/>
                <w:color w:val="000000"/>
                <w:sz w:val="20"/>
                <w:szCs w:val="20"/>
                <w:lang w:eastAsia="cy-GB"/>
              </w:rPr>
              <w:t> </w:t>
            </w:r>
          </w:p>
        </w:tc>
        <w:tc>
          <w:tcPr>
            <w:tcW w:w="2780" w:type="dxa"/>
            <w:noWrap/>
            <w:hideMark/>
          </w:tcPr>
          <w:p w:rsidR="00DC24F2" w:rsidRPr="00F45362"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45362">
              <w:rPr>
                <w:rFonts w:ascii="Calibri" w:eastAsia="Times New Roman" w:hAnsi="Calibri" w:cs="Times New Roman"/>
                <w:b/>
                <w:bCs/>
                <w:color w:val="000000"/>
                <w:sz w:val="20"/>
                <w:szCs w:val="20"/>
                <w:lang w:eastAsia="cy-GB"/>
              </w:rPr>
              <w:t>TOTAL</w:t>
            </w:r>
          </w:p>
        </w:tc>
        <w:tc>
          <w:tcPr>
            <w:tcW w:w="1703"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45362">
              <w:rPr>
                <w:rFonts w:ascii="Calibri" w:eastAsia="Times New Roman" w:hAnsi="Calibri" w:cs="Times New Roman"/>
                <w:b/>
                <w:bCs/>
                <w:color w:val="000000"/>
                <w:sz w:val="20"/>
                <w:szCs w:val="20"/>
                <w:lang w:eastAsia="cy-GB"/>
              </w:rPr>
              <w:t>9,568,537,435.40</w:t>
            </w:r>
          </w:p>
        </w:tc>
        <w:tc>
          <w:tcPr>
            <w:tcW w:w="1738"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45362">
              <w:rPr>
                <w:rFonts w:ascii="Calibri" w:eastAsia="Times New Roman" w:hAnsi="Calibri" w:cs="Times New Roman"/>
                <w:b/>
                <w:bCs/>
                <w:color w:val="000000"/>
                <w:sz w:val="20"/>
                <w:szCs w:val="20"/>
                <w:lang w:eastAsia="cy-GB"/>
              </w:rPr>
              <w:t>2,392,134,358.85</w:t>
            </w:r>
          </w:p>
        </w:tc>
        <w:tc>
          <w:tcPr>
            <w:tcW w:w="1502"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45362">
              <w:rPr>
                <w:rFonts w:ascii="Calibri" w:eastAsia="Times New Roman" w:hAnsi="Calibri" w:cs="Times New Roman"/>
                <w:b/>
                <w:bCs/>
                <w:color w:val="000000"/>
                <w:sz w:val="20"/>
                <w:szCs w:val="20"/>
                <w:lang w:eastAsia="cy-GB"/>
              </w:rPr>
              <w:t>929,981,706.94</w:t>
            </w:r>
          </w:p>
        </w:tc>
        <w:tc>
          <w:tcPr>
            <w:tcW w:w="1519" w:type="dxa"/>
            <w:noWrap/>
            <w:hideMark/>
          </w:tcPr>
          <w:p w:rsidR="00DC24F2" w:rsidRPr="00F45362"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F45362">
              <w:rPr>
                <w:rFonts w:ascii="Calibri" w:eastAsia="Times New Roman" w:hAnsi="Calibri" w:cs="Times New Roman"/>
                <w:b/>
                <w:bCs/>
                <w:color w:val="000000"/>
                <w:sz w:val="20"/>
                <w:szCs w:val="20"/>
                <w:lang w:eastAsia="cy-GB"/>
              </w:rPr>
              <w:t>38.9</w:t>
            </w:r>
          </w:p>
        </w:tc>
      </w:tr>
    </w:tbl>
    <w:p w:rsidR="00DC24F2" w:rsidRPr="00740C34" w:rsidRDefault="00DC24F2" w:rsidP="00DC24F2">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w:t>
      </w:r>
    </w:p>
    <w:p w:rsidR="00A51B3C" w:rsidRDefault="00A51B3C" w:rsidP="00DC24F2">
      <w:pPr>
        <w:spacing w:line="240" w:lineRule="auto"/>
        <w:jc w:val="both"/>
        <w:rPr>
          <w:rFonts w:ascii="Tahoma" w:hAnsi="Tahoma" w:cs="Tahoma"/>
          <w:b/>
          <w:sz w:val="28"/>
          <w:szCs w:val="24"/>
        </w:rPr>
      </w:pPr>
    </w:p>
    <w:p w:rsidR="00DC24F2" w:rsidRDefault="00DC24F2" w:rsidP="00DC24F2">
      <w:pPr>
        <w:spacing w:line="240" w:lineRule="auto"/>
        <w:jc w:val="both"/>
        <w:rPr>
          <w:rFonts w:ascii="Tahoma" w:hAnsi="Tahoma" w:cs="Tahoma"/>
          <w:b/>
          <w:sz w:val="28"/>
          <w:szCs w:val="24"/>
        </w:rPr>
      </w:pPr>
      <w:r>
        <w:rPr>
          <w:rFonts w:ascii="Tahoma" w:hAnsi="Tahoma" w:cs="Tahoma"/>
          <w:b/>
          <w:sz w:val="28"/>
          <w:szCs w:val="24"/>
        </w:rPr>
        <w:t>Figure 3.13: Bar Chart Showing First Quarter Statutory Transfers</w:t>
      </w:r>
    </w:p>
    <w:p w:rsidR="00DC24F2" w:rsidRPr="000C6161" w:rsidRDefault="00DC24F2" w:rsidP="00DC24F2">
      <w:pPr>
        <w:spacing w:line="240" w:lineRule="auto"/>
        <w:jc w:val="both"/>
        <w:rPr>
          <w:rFonts w:ascii="Tahoma" w:hAnsi="Tahoma" w:cs="Tahoma"/>
          <w:b/>
          <w:sz w:val="28"/>
          <w:szCs w:val="24"/>
        </w:rPr>
      </w:pPr>
      <w:r>
        <w:rPr>
          <w:noProof/>
          <w:lang w:eastAsia="cy-GB"/>
        </w:rPr>
        <w:drawing>
          <wp:inline distT="0" distB="0" distL="0" distR="0" wp14:anchorId="0118E72F" wp14:editId="33699732">
            <wp:extent cx="5819775" cy="35814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C24F2" w:rsidRPr="00D257ED" w:rsidRDefault="00DC24F2" w:rsidP="00DC24F2">
      <w:pPr>
        <w:pStyle w:val="NoSpacing"/>
        <w:numPr>
          <w:ilvl w:val="1"/>
          <w:numId w:val="3"/>
        </w:numPr>
        <w:spacing w:line="360" w:lineRule="auto"/>
        <w:jc w:val="both"/>
        <w:rPr>
          <w:rFonts w:ascii="Tahoma" w:hAnsi="Tahoma" w:cs="Tahoma"/>
          <w:b/>
          <w:sz w:val="28"/>
          <w:szCs w:val="28"/>
        </w:rPr>
      </w:pPr>
      <w:r w:rsidRPr="00D257ED">
        <w:rPr>
          <w:rFonts w:ascii="Tahoma" w:hAnsi="Tahoma" w:cs="Tahoma"/>
          <w:b/>
          <w:sz w:val="28"/>
          <w:szCs w:val="28"/>
        </w:rPr>
        <w:lastRenderedPageBreak/>
        <w:t>CAPITAL EXPENDITURE</w:t>
      </w:r>
      <w:r>
        <w:rPr>
          <w:rFonts w:ascii="Tahoma" w:hAnsi="Tahoma" w:cs="Tahoma"/>
          <w:b/>
          <w:sz w:val="28"/>
          <w:szCs w:val="28"/>
        </w:rPr>
        <w:t xml:space="preserve"> ANALYSIS</w:t>
      </w:r>
    </w:p>
    <w:p w:rsidR="00DC24F2" w:rsidRDefault="00DC24F2" w:rsidP="00DC24F2">
      <w:pPr>
        <w:spacing w:after="0" w:line="480" w:lineRule="auto"/>
        <w:ind w:firstLine="720"/>
        <w:jc w:val="both"/>
        <w:rPr>
          <w:rFonts w:ascii="Tahoma" w:hAnsi="Tahoma" w:cs="Tahoma"/>
          <w:sz w:val="28"/>
          <w:szCs w:val="28"/>
        </w:rPr>
      </w:pPr>
      <w:r>
        <w:rPr>
          <w:rFonts w:ascii="Tahoma" w:hAnsi="Tahoma" w:cs="Tahoma"/>
          <w:sz w:val="28"/>
          <w:szCs w:val="24"/>
        </w:rPr>
        <w:t>The quarter estimates</w:t>
      </w:r>
      <w:r w:rsidRPr="00021DE2">
        <w:rPr>
          <w:rFonts w:ascii="Tahoma" w:hAnsi="Tahoma" w:cs="Tahoma"/>
          <w:sz w:val="28"/>
          <w:szCs w:val="24"/>
        </w:rPr>
        <w:t xml:space="preserve"> </w:t>
      </w:r>
      <w:r>
        <w:rPr>
          <w:rFonts w:ascii="Tahoma" w:hAnsi="Tahoma" w:cs="Tahoma"/>
          <w:sz w:val="28"/>
          <w:szCs w:val="24"/>
        </w:rPr>
        <w:t xml:space="preserve">for Capital Expenditure for the first quarter of the year 2019 </w:t>
      </w:r>
      <w:r w:rsidRPr="00021DE2">
        <w:rPr>
          <w:rFonts w:ascii="Tahoma" w:hAnsi="Tahoma" w:cs="Tahoma"/>
          <w:sz w:val="28"/>
          <w:szCs w:val="24"/>
        </w:rPr>
        <w:t xml:space="preserve">was </w:t>
      </w:r>
      <w:r w:rsidRPr="00021DE2">
        <w:rPr>
          <w:rFonts w:ascii="Tahoma" w:hAnsi="Tahoma" w:cs="Tahoma"/>
          <w:dstrike/>
          <w:sz w:val="28"/>
          <w:szCs w:val="24"/>
        </w:rPr>
        <w:t>N</w:t>
      </w:r>
      <w:r>
        <w:rPr>
          <w:rFonts w:ascii="Tahoma" w:hAnsi="Tahoma" w:cs="Tahoma"/>
          <w:sz w:val="28"/>
          <w:szCs w:val="24"/>
        </w:rPr>
        <w:t xml:space="preserve">22.528 </w:t>
      </w:r>
      <w:r>
        <w:rPr>
          <w:rFonts w:ascii="Tahoma" w:hAnsi="Tahoma" w:cs="Tahoma"/>
          <w:sz w:val="28"/>
          <w:szCs w:val="28"/>
        </w:rPr>
        <w:t>b</w:t>
      </w:r>
      <w:r w:rsidRPr="00021DE2">
        <w:rPr>
          <w:rFonts w:ascii="Tahoma" w:hAnsi="Tahoma" w:cs="Tahoma"/>
          <w:sz w:val="28"/>
          <w:szCs w:val="28"/>
        </w:rPr>
        <w:t>illion</w:t>
      </w:r>
      <w:r w:rsidRPr="00021DE2">
        <w:rPr>
          <w:rFonts w:ascii="Tahoma" w:hAnsi="Tahoma" w:cs="Tahoma"/>
          <w:sz w:val="28"/>
          <w:szCs w:val="24"/>
        </w:rPr>
        <w:t>. At the end o</w:t>
      </w:r>
      <w:r>
        <w:rPr>
          <w:rFonts w:ascii="Tahoma" w:hAnsi="Tahoma" w:cs="Tahoma"/>
          <w:sz w:val="28"/>
          <w:szCs w:val="24"/>
        </w:rPr>
        <w:t>f the quarter</w:t>
      </w:r>
      <w:r w:rsidRPr="00021DE2">
        <w:rPr>
          <w:rFonts w:ascii="Tahoma" w:hAnsi="Tahoma" w:cs="Tahoma"/>
          <w:sz w:val="28"/>
          <w:szCs w:val="24"/>
        </w:rPr>
        <w:t xml:space="preserve">, the actual </w:t>
      </w:r>
      <w:r>
        <w:rPr>
          <w:rFonts w:ascii="Tahoma" w:hAnsi="Tahoma" w:cs="Tahoma"/>
          <w:sz w:val="28"/>
          <w:szCs w:val="24"/>
        </w:rPr>
        <w:t>capital e</w:t>
      </w:r>
      <w:r w:rsidRPr="00021DE2">
        <w:rPr>
          <w:rFonts w:ascii="Tahoma" w:hAnsi="Tahoma" w:cs="Tahoma"/>
          <w:sz w:val="28"/>
          <w:szCs w:val="24"/>
        </w:rPr>
        <w:t>xpenditure</w:t>
      </w:r>
      <w:r>
        <w:rPr>
          <w:rFonts w:ascii="Tahoma" w:hAnsi="Tahoma" w:cs="Tahoma"/>
          <w:sz w:val="28"/>
          <w:szCs w:val="24"/>
        </w:rPr>
        <w:t xml:space="preserve"> recorded</w:t>
      </w:r>
      <w:r w:rsidRPr="00021DE2">
        <w:rPr>
          <w:rFonts w:ascii="Tahoma" w:hAnsi="Tahoma" w:cs="Tahoma"/>
          <w:sz w:val="28"/>
          <w:szCs w:val="24"/>
        </w:rPr>
        <w:t xml:space="preserve"> was </w:t>
      </w:r>
      <w:r w:rsidRPr="00021DE2">
        <w:rPr>
          <w:rFonts w:ascii="Tahoma" w:hAnsi="Tahoma" w:cs="Tahoma"/>
          <w:dstrike/>
          <w:sz w:val="28"/>
          <w:szCs w:val="24"/>
        </w:rPr>
        <w:t>N</w:t>
      </w:r>
      <w:r>
        <w:rPr>
          <w:rFonts w:ascii="Tahoma" w:hAnsi="Tahoma" w:cs="Tahoma"/>
          <w:sz w:val="28"/>
          <w:szCs w:val="24"/>
        </w:rPr>
        <w:t>3.320 b</w:t>
      </w:r>
      <w:r w:rsidRPr="00021DE2">
        <w:rPr>
          <w:rFonts w:ascii="Tahoma" w:hAnsi="Tahoma" w:cs="Tahoma"/>
          <w:sz w:val="28"/>
          <w:szCs w:val="24"/>
        </w:rPr>
        <w:t>illion</w:t>
      </w:r>
      <w:r>
        <w:rPr>
          <w:rFonts w:ascii="Tahoma" w:hAnsi="Tahoma" w:cs="Tahoma"/>
          <w:sz w:val="28"/>
          <w:szCs w:val="24"/>
        </w:rPr>
        <w:t>, representing 14.7</w:t>
      </w:r>
      <w:r w:rsidRPr="00021DE2">
        <w:rPr>
          <w:rFonts w:ascii="Tahoma" w:hAnsi="Tahoma" w:cs="Tahoma"/>
          <w:sz w:val="28"/>
          <w:szCs w:val="24"/>
        </w:rPr>
        <w:t>%</w:t>
      </w:r>
      <w:r>
        <w:rPr>
          <w:rFonts w:ascii="Tahoma" w:hAnsi="Tahoma" w:cs="Tahoma"/>
          <w:sz w:val="28"/>
          <w:szCs w:val="24"/>
        </w:rPr>
        <w:t xml:space="preserve"> performance level </w:t>
      </w:r>
      <w:r>
        <w:rPr>
          <w:rFonts w:ascii="Tahoma" w:hAnsi="Tahoma" w:cs="Tahoma"/>
          <w:sz w:val="28"/>
          <w:szCs w:val="28"/>
        </w:rPr>
        <w:t xml:space="preserve">while the corresponding 2018 first quarter actual of </w:t>
      </w:r>
      <w:r w:rsidRPr="00DF613C">
        <w:rPr>
          <w:rFonts w:ascii="Tahoma" w:hAnsi="Tahoma" w:cs="Tahoma"/>
          <w:dstrike/>
          <w:sz w:val="28"/>
          <w:szCs w:val="28"/>
        </w:rPr>
        <w:t>N</w:t>
      </w:r>
      <w:r>
        <w:rPr>
          <w:rFonts w:ascii="Tahoma" w:hAnsi="Tahoma" w:cs="Tahoma"/>
          <w:sz w:val="28"/>
          <w:szCs w:val="28"/>
        </w:rPr>
        <w:t>2.754 billion recorded a performance of 15.6%.</w:t>
      </w:r>
    </w:p>
    <w:p w:rsidR="00DC24F2" w:rsidRDefault="00DC24F2" w:rsidP="00DC24F2">
      <w:pPr>
        <w:pStyle w:val="NoSpacing"/>
        <w:jc w:val="both"/>
        <w:rPr>
          <w:rFonts w:ascii="Tahoma" w:hAnsi="Tahoma" w:cs="Tahoma"/>
          <w:b/>
          <w:sz w:val="28"/>
          <w:szCs w:val="28"/>
        </w:rPr>
      </w:pPr>
      <w:r>
        <w:rPr>
          <w:rFonts w:ascii="Tahoma" w:hAnsi="Tahoma" w:cs="Tahoma"/>
          <w:b/>
          <w:sz w:val="28"/>
          <w:szCs w:val="28"/>
        </w:rPr>
        <w:t xml:space="preserve">Table 3.8:  First Quarter Sectoral </w:t>
      </w:r>
      <w:r w:rsidR="00E962AA">
        <w:rPr>
          <w:rFonts w:ascii="Tahoma" w:hAnsi="Tahoma" w:cs="Tahoma"/>
          <w:b/>
          <w:sz w:val="28"/>
          <w:szCs w:val="28"/>
        </w:rPr>
        <w:t>Capital Expenditure</w:t>
      </w:r>
    </w:p>
    <w:tbl>
      <w:tblPr>
        <w:tblStyle w:val="GridTable5Dark-Accent6"/>
        <w:tblW w:w="9696" w:type="dxa"/>
        <w:tblLook w:val="04A0" w:firstRow="1" w:lastRow="0" w:firstColumn="1" w:lastColumn="0" w:noHBand="0" w:noVBand="1"/>
      </w:tblPr>
      <w:tblGrid>
        <w:gridCol w:w="515"/>
        <w:gridCol w:w="2776"/>
        <w:gridCol w:w="1742"/>
        <w:gridCol w:w="1742"/>
        <w:gridCol w:w="1641"/>
        <w:gridCol w:w="1479"/>
      </w:tblGrid>
      <w:tr w:rsidR="00DC24F2" w:rsidRPr="00716125" w:rsidTr="00DC24F2">
        <w:trPr>
          <w:cnfStyle w:val="100000000000" w:firstRow="1" w:lastRow="0" w:firstColumn="0" w:lastColumn="0" w:oddVBand="0" w:evenVBand="0" w:oddHBand="0"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S/N</w:t>
            </w:r>
          </w:p>
        </w:tc>
        <w:tc>
          <w:tcPr>
            <w:tcW w:w="2776" w:type="dxa"/>
            <w:noWrap/>
            <w:hideMark/>
          </w:tcPr>
          <w:p w:rsidR="00DC24F2" w:rsidRPr="00716125" w:rsidRDefault="00DC24F2" w:rsidP="00DC24F2">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 Sub-Sector/SECTOR</w:t>
            </w:r>
          </w:p>
        </w:tc>
        <w:tc>
          <w:tcPr>
            <w:tcW w:w="1684" w:type="dxa"/>
            <w:hideMark/>
          </w:tcPr>
          <w:p w:rsidR="00DC24F2" w:rsidRPr="00716125"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 xml:space="preserve"> APPROVED BUDGET </w:t>
            </w:r>
          </w:p>
        </w:tc>
        <w:tc>
          <w:tcPr>
            <w:tcW w:w="1684" w:type="dxa"/>
            <w:hideMark/>
          </w:tcPr>
          <w:p w:rsidR="00DC24F2" w:rsidRPr="00716125"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 xml:space="preserve"> FIRST QUARTER ESTIMATES </w:t>
            </w:r>
          </w:p>
        </w:tc>
        <w:tc>
          <w:tcPr>
            <w:tcW w:w="1587" w:type="dxa"/>
            <w:hideMark/>
          </w:tcPr>
          <w:p w:rsidR="00DC24F2" w:rsidRPr="00716125"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 xml:space="preserve"> FIRST QUARTER ACTUAL </w:t>
            </w:r>
          </w:p>
        </w:tc>
        <w:tc>
          <w:tcPr>
            <w:tcW w:w="1454" w:type="dxa"/>
            <w:hideMark/>
          </w:tcPr>
          <w:p w:rsidR="00DC24F2" w:rsidRPr="00716125" w:rsidRDefault="00DC24F2" w:rsidP="00DC24F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PERFORMANCE LEVEL (%)</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1</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Agric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8,183,355,000.00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2,045,838,750.00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7,945,400.00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0.4</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2</w:t>
            </w:r>
          </w:p>
        </w:tc>
        <w:tc>
          <w:tcPr>
            <w:tcW w:w="2776" w:type="dxa"/>
            <w:noWrap/>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Trade &amp; Industry</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2,150,000,000.00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537,500,000.00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9,351,675.00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1.7</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3</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Infrastructure</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33,187,205,020.00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8,296,801,255.00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2,367,056,346.01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28.5</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4</w:t>
            </w:r>
          </w:p>
        </w:tc>
        <w:tc>
          <w:tcPr>
            <w:tcW w:w="2776" w:type="dxa"/>
            <w:noWrap/>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Public Finance</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10,996,835,634.32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2,749,208,908.58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512,253,915.79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18.6</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A</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ECONOMIC SECTOR</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54,517,395,654.32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13,629,348,913.58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2,896,607,336.80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eastAsia="cy-GB"/>
              </w:rPr>
            </w:pPr>
            <w:r w:rsidRPr="00716125">
              <w:rPr>
                <w:rFonts w:ascii="Calibri" w:eastAsia="Times New Roman" w:hAnsi="Calibri" w:cs="Times New Roman"/>
                <w:b/>
                <w:sz w:val="20"/>
                <w:szCs w:val="20"/>
                <w:lang w:eastAsia="cy-GB"/>
              </w:rPr>
              <w:t>21.3</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1</w:t>
            </w:r>
          </w:p>
        </w:tc>
        <w:tc>
          <w:tcPr>
            <w:tcW w:w="2776" w:type="dxa"/>
            <w:noWrap/>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Education</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9,494,352,058.54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2,373,588,014.64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12,353,040.00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0.5</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2</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Health</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6,441,600,000.00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1,610,400,000.00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17,620,875.00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1.1</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3</w:t>
            </w:r>
          </w:p>
        </w:tc>
        <w:tc>
          <w:tcPr>
            <w:tcW w:w="2776" w:type="dxa"/>
            <w:noWrap/>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Social &amp; Community Development</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1,900,400,000.00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475,100,000.00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0.0</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4</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Environment &amp; Sewage Management</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2,270,000,000.00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567,500,000.00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42,716,000.00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7.5</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B</w:t>
            </w:r>
          </w:p>
        </w:tc>
        <w:tc>
          <w:tcPr>
            <w:tcW w:w="2776" w:type="dxa"/>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SOCIAL SERVICES SECTOR</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20,106,352,058.54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5,026,588,014.64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72,689,915.00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cy-GB"/>
              </w:rPr>
            </w:pPr>
            <w:r w:rsidRPr="00716125">
              <w:rPr>
                <w:rFonts w:ascii="Calibri" w:eastAsia="Times New Roman" w:hAnsi="Calibri" w:cs="Times New Roman"/>
                <w:b/>
                <w:sz w:val="20"/>
                <w:szCs w:val="20"/>
                <w:lang w:eastAsia="cy-GB"/>
              </w:rPr>
              <w:t>1.4</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1</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Administration of Justice</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1,175,000,000.00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293,750,000.00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31,970,000.00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10.9</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C</w:t>
            </w:r>
          </w:p>
        </w:tc>
        <w:tc>
          <w:tcPr>
            <w:tcW w:w="2776" w:type="dxa"/>
            <w:noWrap/>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LAW &amp; JUSTICE SECTOR</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1,175,000,000.00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293,750,000.00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31,970,000.00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cy-GB"/>
              </w:rPr>
            </w:pPr>
            <w:r w:rsidRPr="00716125">
              <w:rPr>
                <w:rFonts w:ascii="Calibri" w:eastAsia="Times New Roman" w:hAnsi="Calibri" w:cs="Times New Roman"/>
                <w:b/>
                <w:sz w:val="20"/>
                <w:szCs w:val="20"/>
                <w:lang w:eastAsia="cy-GB"/>
              </w:rPr>
              <w:t>10.9</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1</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General Administration</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12,640,672,400.00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3,160,168,100.00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308,133,923.97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9.8</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2</w:t>
            </w:r>
          </w:p>
        </w:tc>
        <w:tc>
          <w:tcPr>
            <w:tcW w:w="2776" w:type="dxa"/>
            <w:noWrap/>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Legislative</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1,001,489,000.00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250,372,250.00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0.0</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3</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Information</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672,000,000.00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168,000,000.00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sidRPr="00716125">
              <w:rPr>
                <w:rFonts w:ascii="Calibri" w:eastAsia="Times New Roman" w:hAnsi="Calibri" w:cs="Times New Roman"/>
                <w:color w:val="000000"/>
                <w:sz w:val="20"/>
                <w:szCs w:val="20"/>
                <w:lang w:eastAsia="cy-GB"/>
              </w:rPr>
              <w:t xml:space="preserve">            10,687,500.00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cy-GB"/>
              </w:rPr>
            </w:pPr>
            <w:r w:rsidRPr="00716125">
              <w:rPr>
                <w:rFonts w:ascii="Calibri" w:eastAsia="Times New Roman" w:hAnsi="Calibri" w:cs="Times New Roman"/>
                <w:sz w:val="20"/>
                <w:szCs w:val="20"/>
                <w:lang w:eastAsia="cy-GB"/>
              </w:rPr>
              <w:t>6.4</w:t>
            </w:r>
          </w:p>
        </w:tc>
      </w:tr>
      <w:tr w:rsidR="00DC24F2" w:rsidRPr="00716125" w:rsidTr="00DC24F2">
        <w:trPr>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D</w:t>
            </w:r>
          </w:p>
        </w:tc>
        <w:tc>
          <w:tcPr>
            <w:tcW w:w="2776" w:type="dxa"/>
            <w:hideMark/>
          </w:tcPr>
          <w:p w:rsidR="00DC24F2" w:rsidRPr="00716125" w:rsidRDefault="00DC24F2" w:rsidP="00DC24F2">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ADMINISTRATION SECTOR</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14,314,161,400.00 </w:t>
            </w:r>
          </w:p>
        </w:tc>
        <w:tc>
          <w:tcPr>
            <w:tcW w:w="168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3,578,540,350.00 </w:t>
            </w:r>
          </w:p>
        </w:tc>
        <w:tc>
          <w:tcPr>
            <w:tcW w:w="1587"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318,821,423.97 </w:t>
            </w:r>
          </w:p>
        </w:tc>
        <w:tc>
          <w:tcPr>
            <w:tcW w:w="1454" w:type="dxa"/>
            <w:noWrap/>
            <w:hideMark/>
          </w:tcPr>
          <w:p w:rsidR="00DC24F2" w:rsidRPr="00716125" w:rsidRDefault="00DC24F2" w:rsidP="00DC24F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cy-GB"/>
              </w:rPr>
            </w:pPr>
            <w:r w:rsidRPr="00716125">
              <w:rPr>
                <w:rFonts w:ascii="Calibri" w:eastAsia="Times New Roman" w:hAnsi="Calibri" w:cs="Times New Roman"/>
                <w:b/>
                <w:sz w:val="20"/>
                <w:szCs w:val="20"/>
                <w:lang w:eastAsia="cy-GB"/>
              </w:rPr>
              <w:t>8.9</w:t>
            </w:r>
          </w:p>
        </w:tc>
      </w:tr>
      <w:tr w:rsidR="00DC24F2" w:rsidRPr="00716125" w:rsidTr="00DC24F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1" w:type="dxa"/>
            <w:noWrap/>
            <w:hideMark/>
          </w:tcPr>
          <w:p w:rsidR="00DC24F2" w:rsidRPr="00716125" w:rsidRDefault="00DC24F2" w:rsidP="00DC24F2">
            <w:pPr>
              <w:spacing w:after="0" w:line="240" w:lineRule="auto"/>
              <w:jc w:val="center"/>
              <w:rPr>
                <w:rFonts w:ascii="Calibri" w:eastAsia="Times New Roman" w:hAnsi="Calibri" w:cs="Times New Roman"/>
                <w:b w:val="0"/>
                <w:bCs w:val="0"/>
                <w:color w:val="000000"/>
                <w:sz w:val="20"/>
                <w:szCs w:val="20"/>
                <w:lang w:eastAsia="cy-GB"/>
              </w:rPr>
            </w:pPr>
            <w:r w:rsidRPr="00716125">
              <w:rPr>
                <w:rFonts w:ascii="Calibri" w:eastAsia="Times New Roman" w:hAnsi="Calibri" w:cs="Times New Roman"/>
                <w:b w:val="0"/>
                <w:bCs w:val="0"/>
                <w:color w:val="000000"/>
                <w:sz w:val="20"/>
                <w:szCs w:val="20"/>
                <w:lang w:eastAsia="cy-GB"/>
              </w:rPr>
              <w:t> </w:t>
            </w:r>
          </w:p>
        </w:tc>
        <w:tc>
          <w:tcPr>
            <w:tcW w:w="2776" w:type="dxa"/>
            <w:noWrap/>
            <w:hideMark/>
          </w:tcPr>
          <w:p w:rsidR="00DC24F2" w:rsidRPr="00716125" w:rsidRDefault="00DC24F2" w:rsidP="00DC24F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GRAND TOTAL (A+B+C+D)</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90,112,909,112.86 </w:t>
            </w:r>
          </w:p>
        </w:tc>
        <w:tc>
          <w:tcPr>
            <w:tcW w:w="168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22,528,227,278.22 </w:t>
            </w:r>
          </w:p>
        </w:tc>
        <w:tc>
          <w:tcPr>
            <w:tcW w:w="1587"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sidRPr="00716125">
              <w:rPr>
                <w:rFonts w:ascii="Calibri" w:eastAsia="Times New Roman" w:hAnsi="Calibri" w:cs="Times New Roman"/>
                <w:b/>
                <w:bCs/>
                <w:color w:val="000000"/>
                <w:sz w:val="20"/>
                <w:szCs w:val="20"/>
                <w:lang w:eastAsia="cy-GB"/>
              </w:rPr>
              <w:t xml:space="preserve">      3,320,088,675.77 </w:t>
            </w:r>
          </w:p>
        </w:tc>
        <w:tc>
          <w:tcPr>
            <w:tcW w:w="1454" w:type="dxa"/>
            <w:noWrap/>
            <w:hideMark/>
          </w:tcPr>
          <w:p w:rsidR="00DC24F2" w:rsidRPr="00716125" w:rsidRDefault="00DC24F2" w:rsidP="00DC24F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eastAsia="cy-GB"/>
              </w:rPr>
            </w:pPr>
            <w:r w:rsidRPr="00716125">
              <w:rPr>
                <w:rFonts w:ascii="Calibri" w:eastAsia="Times New Roman" w:hAnsi="Calibri" w:cs="Times New Roman"/>
                <w:b/>
                <w:sz w:val="20"/>
                <w:szCs w:val="20"/>
                <w:lang w:eastAsia="cy-GB"/>
              </w:rPr>
              <w:t>14.7</w:t>
            </w:r>
          </w:p>
        </w:tc>
      </w:tr>
    </w:tbl>
    <w:p w:rsidR="00170EAC" w:rsidRPr="00A51B3C" w:rsidRDefault="00DC24F2" w:rsidP="00A51B3C">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 xml:space="preserve">OFFICE OF ACCOUNTANT </w:t>
      </w:r>
      <w:r>
        <w:rPr>
          <w:rFonts w:ascii="Tahoma" w:hAnsi="Tahoma" w:cs="Tahoma"/>
          <w:i/>
          <w:sz w:val="18"/>
          <w:szCs w:val="18"/>
        </w:rPr>
        <w:t>GENERAL AND OTHER MEDAs,</w:t>
      </w:r>
      <w:r w:rsidRPr="00535985">
        <w:rPr>
          <w:rFonts w:ascii="Tahoma" w:hAnsi="Tahoma" w:cs="Tahoma"/>
          <w:i/>
          <w:sz w:val="18"/>
          <w:szCs w:val="18"/>
        </w:rPr>
        <w:t xml:space="preserve"> ONDO STATE</w:t>
      </w:r>
    </w:p>
    <w:p w:rsidR="00170EAC" w:rsidRDefault="00170EAC" w:rsidP="00DC24F2">
      <w:pPr>
        <w:pStyle w:val="NoSpacing"/>
        <w:jc w:val="both"/>
        <w:rPr>
          <w:rFonts w:ascii="Tahoma" w:hAnsi="Tahoma" w:cs="Tahoma"/>
          <w:b/>
          <w:sz w:val="28"/>
          <w:szCs w:val="28"/>
        </w:rPr>
      </w:pPr>
    </w:p>
    <w:p w:rsidR="00DC24F2" w:rsidRDefault="00DC24F2" w:rsidP="00DC24F2">
      <w:pPr>
        <w:pStyle w:val="NoSpacing"/>
        <w:jc w:val="both"/>
        <w:rPr>
          <w:rFonts w:ascii="Tahoma" w:hAnsi="Tahoma" w:cs="Tahoma"/>
          <w:b/>
          <w:sz w:val="28"/>
          <w:szCs w:val="28"/>
        </w:rPr>
      </w:pPr>
      <w:r w:rsidRPr="00FE1524">
        <w:rPr>
          <w:rFonts w:ascii="Tahoma" w:hAnsi="Tahoma" w:cs="Tahoma"/>
          <w:b/>
          <w:sz w:val="28"/>
          <w:szCs w:val="28"/>
        </w:rPr>
        <w:lastRenderedPageBreak/>
        <w:t>Figure 3.</w:t>
      </w:r>
      <w:r>
        <w:rPr>
          <w:rFonts w:ascii="Tahoma" w:hAnsi="Tahoma" w:cs="Tahoma"/>
          <w:b/>
          <w:sz w:val="28"/>
          <w:szCs w:val="28"/>
        </w:rPr>
        <w:t>14</w:t>
      </w:r>
      <w:r w:rsidRPr="00FE1524">
        <w:rPr>
          <w:rFonts w:ascii="Tahoma" w:hAnsi="Tahoma" w:cs="Tahoma"/>
          <w:b/>
          <w:sz w:val="28"/>
          <w:szCs w:val="28"/>
        </w:rPr>
        <w:t>: Bar Chart Showing</w:t>
      </w:r>
      <w:r>
        <w:rPr>
          <w:rFonts w:ascii="Tahoma" w:hAnsi="Tahoma" w:cs="Tahoma"/>
          <w:b/>
          <w:sz w:val="28"/>
          <w:szCs w:val="28"/>
        </w:rPr>
        <w:t xml:space="preserve"> First Quarter</w:t>
      </w:r>
      <w:r w:rsidRPr="00FE1524">
        <w:rPr>
          <w:rFonts w:ascii="Tahoma" w:hAnsi="Tahoma" w:cs="Tahoma"/>
          <w:b/>
          <w:sz w:val="28"/>
          <w:szCs w:val="28"/>
        </w:rPr>
        <w:t xml:space="preserve"> Secto</w:t>
      </w:r>
      <w:r>
        <w:rPr>
          <w:rFonts w:ascii="Tahoma" w:hAnsi="Tahoma" w:cs="Tahoma"/>
          <w:b/>
          <w:sz w:val="28"/>
          <w:szCs w:val="28"/>
        </w:rPr>
        <w:t xml:space="preserve">ral Capital </w:t>
      </w:r>
    </w:p>
    <w:p w:rsidR="00DC24F2" w:rsidRDefault="00DC24F2" w:rsidP="00DC24F2">
      <w:pPr>
        <w:pStyle w:val="NoSpacing"/>
        <w:jc w:val="both"/>
        <w:rPr>
          <w:rFonts w:ascii="Tahoma" w:hAnsi="Tahoma" w:cs="Tahoma"/>
          <w:b/>
          <w:sz w:val="28"/>
          <w:szCs w:val="28"/>
        </w:rPr>
      </w:pPr>
      <w:r>
        <w:rPr>
          <w:rFonts w:ascii="Tahoma" w:hAnsi="Tahoma" w:cs="Tahoma"/>
          <w:b/>
          <w:sz w:val="28"/>
          <w:szCs w:val="28"/>
        </w:rPr>
        <w:tab/>
      </w:r>
      <w:r>
        <w:rPr>
          <w:rFonts w:ascii="Tahoma" w:hAnsi="Tahoma" w:cs="Tahoma"/>
          <w:b/>
          <w:sz w:val="28"/>
          <w:szCs w:val="28"/>
        </w:rPr>
        <w:tab/>
        <w:t xml:space="preserve">    Expenditure</w:t>
      </w:r>
    </w:p>
    <w:p w:rsidR="00DC24F2" w:rsidRDefault="00DC24F2" w:rsidP="00DC24F2">
      <w:pPr>
        <w:pStyle w:val="NoSpacing"/>
        <w:jc w:val="both"/>
        <w:rPr>
          <w:rFonts w:ascii="Tahoma" w:hAnsi="Tahoma" w:cs="Tahoma"/>
          <w:b/>
          <w:sz w:val="28"/>
          <w:szCs w:val="28"/>
        </w:rPr>
      </w:pPr>
      <w:r>
        <w:rPr>
          <w:noProof/>
          <w:lang w:val="cy-GB" w:eastAsia="cy-GB"/>
        </w:rPr>
        <w:drawing>
          <wp:inline distT="0" distB="0" distL="0" distR="0" wp14:anchorId="74DA1794" wp14:editId="6DC779DE">
            <wp:extent cx="5695950" cy="35433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C24F2" w:rsidRDefault="00DC24F2" w:rsidP="00DC24F2">
      <w:pPr>
        <w:pStyle w:val="NoSpacing"/>
        <w:spacing w:line="480" w:lineRule="auto"/>
        <w:ind w:firstLine="720"/>
        <w:jc w:val="both"/>
        <w:rPr>
          <w:rFonts w:ascii="Tahoma" w:hAnsi="Tahoma" w:cs="Tahoma"/>
          <w:sz w:val="28"/>
          <w:szCs w:val="28"/>
        </w:rPr>
      </w:pPr>
    </w:p>
    <w:p w:rsidR="00DC24F2" w:rsidRDefault="00DC24F2" w:rsidP="00DC24F2">
      <w:pPr>
        <w:pStyle w:val="NoSpacing"/>
        <w:spacing w:line="480" w:lineRule="auto"/>
        <w:ind w:firstLine="720"/>
        <w:jc w:val="both"/>
        <w:rPr>
          <w:rFonts w:ascii="Tahoma" w:hAnsi="Tahoma" w:cs="Tahoma"/>
          <w:sz w:val="28"/>
          <w:szCs w:val="24"/>
        </w:rPr>
      </w:pPr>
      <w:r>
        <w:rPr>
          <w:rFonts w:ascii="Tahoma" w:hAnsi="Tahoma" w:cs="Tahoma"/>
          <w:sz w:val="28"/>
          <w:szCs w:val="28"/>
        </w:rPr>
        <w:t xml:space="preserve">Table 3.8 and </w:t>
      </w:r>
      <w:r>
        <w:rPr>
          <w:rFonts w:ascii="Tahoma" w:hAnsi="Tahoma" w:cs="Tahoma"/>
          <w:sz w:val="28"/>
          <w:szCs w:val="24"/>
        </w:rPr>
        <w:t>Figure 3.14 show that the Economic S</w:t>
      </w:r>
      <w:r w:rsidRPr="00056420">
        <w:rPr>
          <w:rFonts w:ascii="Tahoma" w:hAnsi="Tahoma" w:cs="Tahoma"/>
          <w:sz w:val="28"/>
          <w:szCs w:val="24"/>
        </w:rPr>
        <w:t xml:space="preserve">ector accounted for the highest </w:t>
      </w:r>
      <w:r>
        <w:rPr>
          <w:rFonts w:ascii="Tahoma" w:hAnsi="Tahoma" w:cs="Tahoma"/>
          <w:sz w:val="28"/>
          <w:szCs w:val="24"/>
        </w:rPr>
        <w:t>actual Capital Expenditure of</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2.897 billion, representing 21.03% performance level, when compared to the quarter estimates of </w:t>
      </w:r>
      <w:r w:rsidRPr="00F37499">
        <w:rPr>
          <w:rFonts w:ascii="Tahoma" w:hAnsi="Tahoma" w:cs="Tahoma"/>
          <w:dstrike/>
          <w:sz w:val="28"/>
          <w:szCs w:val="24"/>
        </w:rPr>
        <w:t>N</w:t>
      </w:r>
      <w:r>
        <w:rPr>
          <w:rFonts w:ascii="Tahoma" w:hAnsi="Tahoma" w:cs="Tahoma"/>
          <w:sz w:val="28"/>
          <w:szCs w:val="24"/>
        </w:rPr>
        <w:t xml:space="preserve">13.629 billion. On the other hand, Law &amp; Justice Sector, with the least actual expenditure of </w:t>
      </w:r>
      <w:r w:rsidRPr="005E7924">
        <w:rPr>
          <w:rFonts w:ascii="Tahoma" w:hAnsi="Tahoma" w:cs="Tahoma"/>
          <w:dstrike/>
          <w:sz w:val="28"/>
          <w:szCs w:val="24"/>
        </w:rPr>
        <w:t>N</w:t>
      </w:r>
      <w:r>
        <w:rPr>
          <w:rFonts w:ascii="Tahoma" w:hAnsi="Tahoma" w:cs="Tahoma"/>
          <w:sz w:val="28"/>
          <w:szCs w:val="24"/>
        </w:rPr>
        <w:t>0.032 billion recorded 10.9% performance level for the quarter.</w:t>
      </w:r>
    </w:p>
    <w:p w:rsidR="00A51B3C" w:rsidRDefault="00A51B3C" w:rsidP="00DC24F2">
      <w:pPr>
        <w:pStyle w:val="NoSpacing"/>
        <w:spacing w:line="480" w:lineRule="auto"/>
        <w:ind w:firstLine="720"/>
        <w:jc w:val="both"/>
        <w:rPr>
          <w:rFonts w:ascii="Tahoma" w:hAnsi="Tahoma" w:cs="Tahoma"/>
          <w:sz w:val="28"/>
          <w:szCs w:val="24"/>
        </w:rPr>
      </w:pPr>
    </w:p>
    <w:p w:rsidR="00DC24F2" w:rsidRDefault="00DC24F2" w:rsidP="00DC24F2"/>
    <w:p w:rsidR="00DC24F2" w:rsidRDefault="00DC24F2"/>
    <w:p w:rsidR="00170EAC" w:rsidRDefault="00170EAC"/>
    <w:p w:rsidR="00170EAC" w:rsidRDefault="00170EAC"/>
    <w:p w:rsidR="00170EAC" w:rsidRDefault="00170EAC"/>
    <w:p w:rsidR="00170EAC" w:rsidRDefault="00170EAC"/>
    <w:p w:rsidR="00170EAC" w:rsidRPr="00315C8B" w:rsidRDefault="00170EAC" w:rsidP="00170EAC">
      <w:pPr>
        <w:jc w:val="center"/>
        <w:rPr>
          <w:rFonts w:ascii="Tahoma" w:hAnsi="Tahoma" w:cs="Tahoma"/>
          <w:b/>
          <w:sz w:val="28"/>
          <w:szCs w:val="28"/>
        </w:rPr>
      </w:pPr>
      <w:r w:rsidRPr="00315C8B">
        <w:rPr>
          <w:rFonts w:ascii="Tahoma" w:hAnsi="Tahoma" w:cs="Tahoma"/>
          <w:b/>
          <w:sz w:val="28"/>
          <w:szCs w:val="28"/>
        </w:rPr>
        <w:t>CHAPTER FOUR</w:t>
      </w:r>
    </w:p>
    <w:p w:rsidR="00170EAC" w:rsidRDefault="00170EAC" w:rsidP="00170EAC">
      <w:pPr>
        <w:jc w:val="center"/>
        <w:rPr>
          <w:rFonts w:ascii="Tahoma" w:hAnsi="Tahoma" w:cs="Tahoma"/>
          <w:b/>
          <w:sz w:val="28"/>
          <w:szCs w:val="28"/>
        </w:rPr>
      </w:pPr>
      <w:r>
        <w:rPr>
          <w:rFonts w:ascii="Tahoma" w:hAnsi="Tahoma" w:cs="Tahoma"/>
          <w:b/>
          <w:sz w:val="28"/>
          <w:szCs w:val="28"/>
        </w:rPr>
        <w:t xml:space="preserve">CAPITAL PROJECTS </w:t>
      </w:r>
      <w:r w:rsidRPr="00315C8B">
        <w:rPr>
          <w:rFonts w:ascii="Tahoma" w:hAnsi="Tahoma" w:cs="Tahoma"/>
          <w:b/>
          <w:sz w:val="28"/>
          <w:szCs w:val="28"/>
        </w:rPr>
        <w:t>AWARD</w:t>
      </w:r>
      <w:r>
        <w:rPr>
          <w:rFonts w:ascii="Tahoma" w:hAnsi="Tahoma" w:cs="Tahoma"/>
          <w:b/>
          <w:sz w:val="28"/>
          <w:szCs w:val="28"/>
        </w:rPr>
        <w:t>ED THROUGH STATE TENDER’S BOARD BETWEEN JANUARY AND</w:t>
      </w:r>
      <w:r w:rsidRPr="00315C8B">
        <w:rPr>
          <w:rFonts w:ascii="Tahoma" w:hAnsi="Tahoma" w:cs="Tahoma"/>
          <w:b/>
          <w:sz w:val="28"/>
          <w:szCs w:val="28"/>
        </w:rPr>
        <w:t xml:space="preserve"> </w:t>
      </w:r>
      <w:r>
        <w:rPr>
          <w:rFonts w:ascii="Tahoma" w:hAnsi="Tahoma" w:cs="Tahoma"/>
          <w:b/>
          <w:sz w:val="28"/>
          <w:szCs w:val="28"/>
        </w:rPr>
        <w:t>MARCH</w:t>
      </w:r>
      <w:r w:rsidRPr="00315C8B">
        <w:rPr>
          <w:rFonts w:ascii="Tahoma" w:hAnsi="Tahoma" w:cs="Tahoma"/>
          <w:b/>
          <w:sz w:val="28"/>
          <w:szCs w:val="28"/>
        </w:rPr>
        <w:t>, 201</w:t>
      </w:r>
      <w:r>
        <w:rPr>
          <w:rFonts w:ascii="Tahoma" w:hAnsi="Tahoma" w:cs="Tahoma"/>
          <w:b/>
          <w:sz w:val="28"/>
          <w:szCs w:val="28"/>
        </w:rPr>
        <w:t>9</w:t>
      </w:r>
    </w:p>
    <w:p w:rsidR="00170EAC" w:rsidRPr="00B41EB9" w:rsidRDefault="00170EAC" w:rsidP="00170EAC">
      <w:pPr>
        <w:spacing w:line="480" w:lineRule="auto"/>
        <w:jc w:val="both"/>
        <w:rPr>
          <w:rFonts w:ascii="Tahoma" w:hAnsi="Tahoma" w:cs="Tahoma"/>
          <w:sz w:val="28"/>
          <w:szCs w:val="28"/>
        </w:rPr>
      </w:pPr>
      <w:r w:rsidRPr="00934B01">
        <w:rPr>
          <w:rFonts w:ascii="Tahoma" w:hAnsi="Tahoma" w:cs="Tahoma"/>
          <w:sz w:val="28"/>
          <w:szCs w:val="28"/>
        </w:rPr>
        <w:t>The 20</w:t>
      </w:r>
      <w:r>
        <w:rPr>
          <w:rFonts w:ascii="Tahoma" w:hAnsi="Tahoma" w:cs="Tahoma"/>
          <w:sz w:val="28"/>
          <w:szCs w:val="28"/>
        </w:rPr>
        <w:t xml:space="preserve">19 Budget </w:t>
      </w:r>
      <w:r w:rsidRPr="00934B01">
        <w:rPr>
          <w:rFonts w:ascii="Tahoma" w:hAnsi="Tahoma" w:cs="Tahoma"/>
          <w:sz w:val="28"/>
          <w:szCs w:val="28"/>
        </w:rPr>
        <w:t xml:space="preserve">tagged </w:t>
      </w:r>
      <w:r w:rsidRPr="00B41EB9">
        <w:rPr>
          <w:rFonts w:ascii="Tahoma" w:hAnsi="Tahoma" w:cs="Tahoma"/>
          <w:b/>
          <w:sz w:val="28"/>
          <w:szCs w:val="28"/>
        </w:rPr>
        <w:t>“Budget of Advancement”</w:t>
      </w:r>
      <w:r w:rsidRPr="00934B01">
        <w:rPr>
          <w:rFonts w:ascii="Tahoma" w:hAnsi="Tahoma" w:cs="Tahoma"/>
          <w:sz w:val="28"/>
          <w:szCs w:val="28"/>
        </w:rPr>
        <w:t xml:space="preserve"> was designed to </w:t>
      </w:r>
      <w:r>
        <w:rPr>
          <w:rFonts w:ascii="Tahoma" w:hAnsi="Tahoma" w:cs="Tahoma"/>
          <w:sz w:val="28"/>
          <w:szCs w:val="28"/>
        </w:rPr>
        <w:t xml:space="preserve">provide the roadmap for rapid economic growth, maintain fiscal discipline, create wealth and empowerment, encourage self-reliance and develop a knowledge-based economy. </w:t>
      </w:r>
      <w:r w:rsidRPr="00934B01">
        <w:rPr>
          <w:rFonts w:ascii="Tahoma" w:eastAsia="Tahoma" w:hAnsi="Tahoma" w:cs="Tahoma"/>
          <w:color w:val="000000"/>
          <w:sz w:val="28"/>
          <w:szCs w:val="28"/>
        </w:rPr>
        <w:t xml:space="preserve">It was also prepared to </w:t>
      </w:r>
      <w:r>
        <w:rPr>
          <w:rFonts w:ascii="Tahoma" w:eastAsia="Tahoma" w:hAnsi="Tahoma" w:cs="Tahoma"/>
          <w:color w:val="000000"/>
          <w:sz w:val="28"/>
          <w:szCs w:val="28"/>
        </w:rPr>
        <w:t xml:space="preserve">enhance the State competitiveness and facilitate the overall development of Ondo State. In order to build on the foundation laid with the 2018 Budget and achieve </w:t>
      </w:r>
      <w:r w:rsidRPr="00934B01">
        <w:rPr>
          <w:rFonts w:ascii="Tahoma" w:eastAsia="Tahoma" w:hAnsi="Tahoma" w:cs="Tahoma"/>
          <w:color w:val="000000"/>
          <w:sz w:val="28"/>
          <w:szCs w:val="28"/>
        </w:rPr>
        <w:t>t</w:t>
      </w:r>
      <w:r>
        <w:rPr>
          <w:rFonts w:ascii="Tahoma" w:eastAsia="Tahoma" w:hAnsi="Tahoma" w:cs="Tahoma"/>
          <w:color w:val="000000"/>
          <w:sz w:val="28"/>
          <w:szCs w:val="28"/>
        </w:rPr>
        <w:t>he</w:t>
      </w:r>
      <w:r w:rsidRPr="00934B01">
        <w:rPr>
          <w:rFonts w:ascii="Tahoma" w:eastAsia="Tahoma" w:hAnsi="Tahoma" w:cs="Tahoma"/>
          <w:color w:val="000000"/>
          <w:sz w:val="28"/>
          <w:szCs w:val="28"/>
        </w:rPr>
        <w:t xml:space="preserve"> objective</w:t>
      </w:r>
      <w:r>
        <w:rPr>
          <w:rFonts w:ascii="Tahoma" w:eastAsia="Tahoma" w:hAnsi="Tahoma" w:cs="Tahoma"/>
          <w:color w:val="000000"/>
          <w:sz w:val="28"/>
          <w:szCs w:val="28"/>
        </w:rPr>
        <w:t>s</w:t>
      </w:r>
      <w:r w:rsidRPr="00934B01">
        <w:rPr>
          <w:rFonts w:ascii="Tahoma" w:eastAsia="Tahoma" w:hAnsi="Tahoma" w:cs="Tahoma"/>
          <w:color w:val="000000"/>
          <w:sz w:val="28"/>
          <w:szCs w:val="28"/>
        </w:rPr>
        <w:t xml:space="preserve"> of </w:t>
      </w:r>
      <w:r>
        <w:rPr>
          <w:rFonts w:ascii="Tahoma" w:eastAsia="Tahoma" w:hAnsi="Tahoma" w:cs="Tahoma"/>
          <w:color w:val="000000"/>
          <w:sz w:val="28"/>
          <w:szCs w:val="28"/>
        </w:rPr>
        <w:t>the cardinal programme of this Administration, a</w:t>
      </w:r>
      <w:r w:rsidRPr="00934B01">
        <w:rPr>
          <w:rFonts w:ascii="Tahoma" w:eastAsia="Tahoma" w:hAnsi="Tahoma" w:cs="Tahoma"/>
          <w:color w:val="000000"/>
          <w:sz w:val="28"/>
          <w:szCs w:val="28"/>
        </w:rPr>
        <w:t xml:space="preserve"> sum of </w:t>
      </w:r>
      <w:r w:rsidRPr="00315C8B">
        <w:rPr>
          <w:rFonts w:ascii="Tahoma" w:eastAsia="Tahoma" w:hAnsi="Tahoma" w:cs="Tahoma"/>
          <w:dstrike/>
          <w:color w:val="000000"/>
          <w:sz w:val="28"/>
          <w:szCs w:val="28"/>
        </w:rPr>
        <w:t>N</w:t>
      </w:r>
      <w:r>
        <w:rPr>
          <w:rFonts w:ascii="Tahoma" w:eastAsia="Tahoma" w:hAnsi="Tahoma" w:cs="Tahoma"/>
          <w:color w:val="000000"/>
          <w:sz w:val="28"/>
          <w:szCs w:val="28"/>
        </w:rPr>
        <w:t>9</w:t>
      </w:r>
      <w:r w:rsidRPr="00934B01">
        <w:rPr>
          <w:rFonts w:ascii="Tahoma" w:eastAsia="Tahoma" w:hAnsi="Tahoma" w:cs="Tahoma"/>
          <w:color w:val="000000"/>
          <w:sz w:val="28"/>
          <w:szCs w:val="28"/>
        </w:rPr>
        <w:t>0.</w:t>
      </w:r>
      <w:r>
        <w:rPr>
          <w:rFonts w:ascii="Tahoma" w:eastAsia="Tahoma" w:hAnsi="Tahoma" w:cs="Tahoma"/>
          <w:color w:val="000000"/>
          <w:sz w:val="28"/>
          <w:szCs w:val="28"/>
        </w:rPr>
        <w:t>113</w:t>
      </w:r>
      <w:r w:rsidRPr="00934B01">
        <w:rPr>
          <w:rFonts w:ascii="Tahoma" w:eastAsia="Tahoma" w:hAnsi="Tahoma" w:cs="Tahoma"/>
          <w:color w:val="000000"/>
          <w:sz w:val="28"/>
          <w:szCs w:val="28"/>
        </w:rPr>
        <w:t xml:space="preserve"> billion was budgeted</w:t>
      </w:r>
      <w:r>
        <w:rPr>
          <w:rFonts w:ascii="Tahoma" w:eastAsia="Tahoma" w:hAnsi="Tahoma" w:cs="Tahoma"/>
          <w:color w:val="000000"/>
          <w:sz w:val="28"/>
          <w:szCs w:val="28"/>
        </w:rPr>
        <w:t xml:space="preserve"> for capital expenditure in 2019</w:t>
      </w:r>
      <w:r w:rsidRPr="00934B01">
        <w:rPr>
          <w:rFonts w:ascii="Tahoma" w:eastAsia="Tahoma" w:hAnsi="Tahoma" w:cs="Tahoma"/>
          <w:color w:val="000000"/>
          <w:sz w:val="28"/>
          <w:szCs w:val="28"/>
        </w:rPr>
        <w:t>.</w:t>
      </w:r>
    </w:p>
    <w:p w:rsidR="00170EAC" w:rsidRDefault="00170EAC" w:rsidP="00170EAC">
      <w:pPr>
        <w:pStyle w:val="NoSpacing"/>
        <w:spacing w:line="480" w:lineRule="auto"/>
        <w:ind w:firstLine="720"/>
        <w:jc w:val="both"/>
        <w:rPr>
          <w:rFonts w:ascii="Tahoma" w:eastAsia="Tahoma" w:hAnsi="Tahoma" w:cs="Tahoma"/>
          <w:color w:val="000000"/>
          <w:sz w:val="28"/>
          <w:szCs w:val="28"/>
        </w:rPr>
      </w:pPr>
      <w:r>
        <w:rPr>
          <w:rFonts w:ascii="Tahoma" w:eastAsia="Tahoma" w:hAnsi="Tahoma" w:cs="Tahoma"/>
          <w:color w:val="000000"/>
          <w:sz w:val="28"/>
          <w:szCs w:val="28"/>
        </w:rPr>
        <w:t>Implementing the 2019 capital projects, priorities were given to ongoing projects. In addition to the 709 ongoing capital projects awarded in 2018, which are at the different stages of completion, nine (9) new Capital projects amounting</w:t>
      </w:r>
      <w:r w:rsidRPr="00934B01">
        <w:rPr>
          <w:rFonts w:ascii="Tahoma" w:eastAsia="Tahoma" w:hAnsi="Tahoma" w:cs="Tahoma"/>
          <w:color w:val="000000"/>
          <w:sz w:val="28"/>
          <w:szCs w:val="28"/>
        </w:rPr>
        <w:t xml:space="preserve"> to </w:t>
      </w:r>
      <w:r w:rsidRPr="00315C8B">
        <w:rPr>
          <w:rFonts w:ascii="Tahoma" w:eastAsia="Tahoma" w:hAnsi="Tahoma" w:cs="Tahoma"/>
          <w:dstrike/>
          <w:color w:val="000000"/>
          <w:sz w:val="28"/>
          <w:szCs w:val="28"/>
        </w:rPr>
        <w:t>N</w:t>
      </w:r>
      <w:r w:rsidRPr="00934B01">
        <w:rPr>
          <w:rFonts w:ascii="Tahoma" w:eastAsia="Tahoma" w:hAnsi="Tahoma" w:cs="Tahoma"/>
          <w:color w:val="000000"/>
          <w:sz w:val="28"/>
          <w:szCs w:val="28"/>
        </w:rPr>
        <w:t>4</w:t>
      </w:r>
      <w:r>
        <w:rPr>
          <w:rFonts w:ascii="Tahoma" w:eastAsia="Tahoma" w:hAnsi="Tahoma" w:cs="Tahoma"/>
          <w:color w:val="000000"/>
          <w:sz w:val="28"/>
          <w:szCs w:val="28"/>
        </w:rPr>
        <w:t>2</w:t>
      </w:r>
      <w:r w:rsidRPr="00934B01">
        <w:rPr>
          <w:rFonts w:ascii="Tahoma" w:eastAsia="Tahoma" w:hAnsi="Tahoma" w:cs="Tahoma"/>
          <w:color w:val="000000"/>
          <w:sz w:val="28"/>
          <w:szCs w:val="28"/>
        </w:rPr>
        <w:t>.</w:t>
      </w:r>
      <w:r>
        <w:rPr>
          <w:rFonts w:ascii="Tahoma" w:eastAsia="Tahoma" w:hAnsi="Tahoma" w:cs="Tahoma"/>
          <w:color w:val="000000"/>
          <w:sz w:val="28"/>
          <w:szCs w:val="28"/>
        </w:rPr>
        <w:t>254</w:t>
      </w:r>
      <w:r w:rsidRPr="00934B01">
        <w:rPr>
          <w:rFonts w:ascii="Tahoma" w:eastAsia="Tahoma" w:hAnsi="Tahoma" w:cs="Tahoma"/>
          <w:color w:val="000000"/>
          <w:sz w:val="28"/>
          <w:szCs w:val="28"/>
        </w:rPr>
        <w:t xml:space="preserve"> billion</w:t>
      </w:r>
      <w:r>
        <w:rPr>
          <w:rFonts w:ascii="Tahoma" w:eastAsia="Tahoma" w:hAnsi="Tahoma" w:cs="Tahoma"/>
          <w:color w:val="000000"/>
          <w:sz w:val="28"/>
          <w:szCs w:val="28"/>
        </w:rPr>
        <w:t xml:space="preserve"> had been awarded through the State Tender’s Board between January and March, 2019. The MEDAs implementing the new Capital </w:t>
      </w:r>
      <w:r w:rsidRPr="00934B01">
        <w:rPr>
          <w:rFonts w:ascii="Tahoma" w:eastAsia="Tahoma" w:hAnsi="Tahoma" w:cs="Tahoma"/>
          <w:color w:val="000000"/>
          <w:sz w:val="28"/>
          <w:szCs w:val="28"/>
        </w:rPr>
        <w:t xml:space="preserve">projects are </w:t>
      </w:r>
      <w:r>
        <w:rPr>
          <w:rFonts w:ascii="Tahoma" w:eastAsia="Tahoma" w:hAnsi="Tahoma" w:cs="Tahoma"/>
          <w:color w:val="000000"/>
          <w:sz w:val="28"/>
          <w:szCs w:val="28"/>
        </w:rPr>
        <w:t>Ministry of Works and Infrastructure</w:t>
      </w:r>
      <w:r w:rsidRPr="00934B01">
        <w:rPr>
          <w:rFonts w:ascii="Tahoma" w:eastAsia="Tahoma" w:hAnsi="Tahoma" w:cs="Tahoma"/>
          <w:color w:val="000000"/>
          <w:sz w:val="28"/>
          <w:szCs w:val="28"/>
        </w:rPr>
        <w:t xml:space="preserve">, Ondo State Oil Producing Areas Development Commission </w:t>
      </w:r>
      <w:r>
        <w:rPr>
          <w:rFonts w:ascii="Tahoma" w:eastAsia="Tahoma" w:hAnsi="Tahoma" w:cs="Tahoma"/>
          <w:color w:val="000000"/>
          <w:sz w:val="28"/>
          <w:szCs w:val="28"/>
        </w:rPr>
        <w:t xml:space="preserve">(OSOPADEC) and Ministry of </w:t>
      </w:r>
      <w:r>
        <w:rPr>
          <w:rFonts w:ascii="Tahoma" w:eastAsia="Times New Roman" w:hAnsi="Tahoma" w:cs="Tahoma"/>
          <w:bCs/>
          <w:color w:val="000000"/>
          <w:sz w:val="28"/>
          <w:szCs w:val="28"/>
          <w:lang w:eastAsia="en-GB"/>
        </w:rPr>
        <w:t>Lands and Housing</w:t>
      </w:r>
      <w:r>
        <w:rPr>
          <w:rFonts w:ascii="Tahoma" w:eastAsia="Tahoma" w:hAnsi="Tahoma" w:cs="Tahoma"/>
          <w:color w:val="000000"/>
          <w:sz w:val="28"/>
          <w:szCs w:val="28"/>
        </w:rPr>
        <w:t>.</w:t>
      </w:r>
    </w:p>
    <w:p w:rsidR="00170EAC" w:rsidRDefault="00170EAC" w:rsidP="00170EAC">
      <w:pPr>
        <w:pStyle w:val="NoSpacing"/>
        <w:spacing w:line="480" w:lineRule="auto"/>
        <w:ind w:firstLine="720"/>
        <w:jc w:val="both"/>
        <w:rPr>
          <w:rFonts w:ascii="Tahoma" w:eastAsia="Tahoma" w:hAnsi="Tahoma" w:cs="Tahoma"/>
          <w:color w:val="000000"/>
          <w:sz w:val="28"/>
          <w:szCs w:val="28"/>
        </w:rPr>
      </w:pPr>
    </w:p>
    <w:p w:rsidR="00170EAC" w:rsidRDefault="00170EAC" w:rsidP="00170EAC">
      <w:pPr>
        <w:pStyle w:val="NoSpacing"/>
        <w:spacing w:line="480" w:lineRule="auto"/>
        <w:jc w:val="both"/>
        <w:rPr>
          <w:rFonts w:ascii="Tahoma" w:eastAsia="Tahoma" w:hAnsi="Tahoma" w:cs="Tahoma"/>
          <w:color w:val="000000"/>
          <w:sz w:val="28"/>
          <w:szCs w:val="28"/>
        </w:rPr>
      </w:pPr>
    </w:p>
    <w:p w:rsidR="00170EAC" w:rsidRDefault="00170EAC" w:rsidP="00170EAC">
      <w:pPr>
        <w:pStyle w:val="NoSpacing"/>
        <w:spacing w:line="480" w:lineRule="auto"/>
        <w:jc w:val="both"/>
        <w:rPr>
          <w:rFonts w:ascii="Tahoma" w:eastAsia="Tahoma" w:hAnsi="Tahoma" w:cs="Tahoma"/>
          <w:color w:val="000000"/>
          <w:sz w:val="28"/>
          <w:szCs w:val="28"/>
        </w:rPr>
      </w:pPr>
      <w:r>
        <w:rPr>
          <w:rFonts w:ascii="Tahoma" w:eastAsia="Tahoma" w:hAnsi="Tahoma" w:cs="Tahoma"/>
          <w:color w:val="000000"/>
          <w:sz w:val="28"/>
          <w:szCs w:val="28"/>
        </w:rPr>
        <w:lastRenderedPageBreak/>
        <w:t xml:space="preserve">Table 4.1 and 4.2 below show the breakdown and summary of new Capital </w:t>
      </w:r>
      <w:r w:rsidRPr="007E3762">
        <w:rPr>
          <w:rFonts w:ascii="Tahoma" w:eastAsia="Tahoma" w:hAnsi="Tahoma" w:cs="Tahoma"/>
          <w:color w:val="000000"/>
          <w:sz w:val="28"/>
          <w:szCs w:val="28"/>
        </w:rPr>
        <w:t>projects awar</w:t>
      </w:r>
      <w:r>
        <w:rPr>
          <w:rFonts w:ascii="Tahoma" w:eastAsia="Tahoma" w:hAnsi="Tahoma" w:cs="Tahoma"/>
          <w:color w:val="000000"/>
          <w:sz w:val="28"/>
          <w:szCs w:val="28"/>
        </w:rPr>
        <w:t>ded between January and March, 2019.</w:t>
      </w:r>
      <w:r w:rsidRPr="007E3762">
        <w:rPr>
          <w:rFonts w:ascii="Tahoma" w:eastAsia="Tahoma" w:hAnsi="Tahoma" w:cs="Tahoma"/>
          <w:color w:val="000000"/>
          <w:sz w:val="28"/>
          <w:szCs w:val="28"/>
        </w:rPr>
        <w:t xml:space="preserve"> </w:t>
      </w:r>
    </w:p>
    <w:tbl>
      <w:tblPr>
        <w:tblStyle w:val="GridTable5Dark-Accent6"/>
        <w:tblpPr w:leftFromText="180" w:rightFromText="180" w:vertAnchor="text" w:horzAnchor="margin" w:tblpXSpec="center" w:tblpY="397"/>
        <w:tblW w:w="10356" w:type="dxa"/>
        <w:tblLayout w:type="fixed"/>
        <w:tblLook w:val="04A0" w:firstRow="1" w:lastRow="0" w:firstColumn="1" w:lastColumn="0" w:noHBand="0" w:noVBand="1"/>
      </w:tblPr>
      <w:tblGrid>
        <w:gridCol w:w="622"/>
        <w:gridCol w:w="2350"/>
        <w:gridCol w:w="4111"/>
        <w:gridCol w:w="1134"/>
        <w:gridCol w:w="2139"/>
      </w:tblGrid>
      <w:tr w:rsidR="00170EAC" w:rsidRPr="00A301F1" w:rsidTr="002E5ABD">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rPr>
                <w:rFonts w:eastAsia="Times New Roman" w:cs="Calibri"/>
                <w:b w:val="0"/>
                <w:bCs w:val="0"/>
                <w:color w:val="000000"/>
                <w:sz w:val="26"/>
                <w:szCs w:val="26"/>
                <w:lang w:val="en-GB" w:eastAsia="en-GB"/>
              </w:rPr>
            </w:pPr>
            <w:r w:rsidRPr="00A301F1">
              <w:rPr>
                <w:rFonts w:eastAsia="Times New Roman" w:cs="Calibri"/>
                <w:color w:val="000000"/>
                <w:sz w:val="26"/>
                <w:szCs w:val="26"/>
                <w:lang w:val="en-GB" w:eastAsia="en-GB"/>
              </w:rPr>
              <w:t>S/N</w:t>
            </w:r>
          </w:p>
        </w:tc>
        <w:tc>
          <w:tcPr>
            <w:tcW w:w="2350" w:type="dxa"/>
            <w:hideMark/>
          </w:tcPr>
          <w:p w:rsidR="00170EAC" w:rsidRPr="00A301F1" w:rsidRDefault="00170EAC" w:rsidP="002E5ABD">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6"/>
                <w:szCs w:val="26"/>
                <w:lang w:val="en-GB" w:eastAsia="en-GB"/>
              </w:rPr>
            </w:pPr>
            <w:r w:rsidRPr="00A301F1">
              <w:rPr>
                <w:rFonts w:eastAsia="Times New Roman" w:cs="Calibri"/>
                <w:color w:val="000000"/>
                <w:sz w:val="26"/>
                <w:szCs w:val="26"/>
                <w:lang w:val="en-GB" w:eastAsia="en-GB"/>
              </w:rPr>
              <w:t>MEDAS</w:t>
            </w:r>
          </w:p>
        </w:tc>
        <w:tc>
          <w:tcPr>
            <w:tcW w:w="4111" w:type="dxa"/>
            <w:hideMark/>
          </w:tcPr>
          <w:p w:rsidR="00170EAC" w:rsidRPr="00A301F1" w:rsidRDefault="00170EAC" w:rsidP="002E5ABD">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6"/>
                <w:szCs w:val="26"/>
                <w:lang w:val="en-GB" w:eastAsia="en-GB"/>
              </w:rPr>
            </w:pPr>
            <w:r w:rsidRPr="00A301F1">
              <w:rPr>
                <w:rFonts w:eastAsia="Times New Roman" w:cs="Calibri"/>
                <w:color w:val="000000"/>
                <w:sz w:val="26"/>
                <w:szCs w:val="26"/>
                <w:lang w:val="en-GB" w:eastAsia="en-GB"/>
              </w:rPr>
              <w:t>PROJECT DESCRIPTION</w:t>
            </w:r>
          </w:p>
        </w:tc>
        <w:tc>
          <w:tcPr>
            <w:tcW w:w="1134" w:type="dxa"/>
            <w:hideMark/>
          </w:tcPr>
          <w:p w:rsidR="00170EAC" w:rsidRPr="00A301F1" w:rsidRDefault="00170EAC" w:rsidP="002E5ABD">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6"/>
                <w:szCs w:val="26"/>
                <w:lang w:val="en-GB" w:eastAsia="en-GB"/>
              </w:rPr>
            </w:pPr>
            <w:r w:rsidRPr="00A301F1">
              <w:rPr>
                <w:rFonts w:eastAsia="Times New Roman" w:cs="Calibri"/>
                <w:color w:val="000000"/>
                <w:sz w:val="26"/>
                <w:szCs w:val="26"/>
                <w:lang w:val="en-GB" w:eastAsia="en-GB"/>
              </w:rPr>
              <w:t>LOCATION/LGA</w:t>
            </w:r>
          </w:p>
        </w:tc>
        <w:tc>
          <w:tcPr>
            <w:tcW w:w="2139" w:type="dxa"/>
            <w:hideMark/>
          </w:tcPr>
          <w:p w:rsidR="00170EAC" w:rsidRPr="00A301F1" w:rsidRDefault="00170EAC" w:rsidP="002E5ABD">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6"/>
                <w:szCs w:val="26"/>
                <w:lang w:val="en-GB" w:eastAsia="en-GB"/>
              </w:rPr>
            </w:pPr>
            <w:r w:rsidRPr="00A301F1">
              <w:rPr>
                <w:rFonts w:eastAsia="Times New Roman" w:cs="Calibri"/>
                <w:color w:val="000000"/>
                <w:sz w:val="26"/>
                <w:szCs w:val="26"/>
                <w:lang w:val="en-GB" w:eastAsia="en-GB"/>
              </w:rPr>
              <w:t xml:space="preserve">AMOUNT </w:t>
            </w:r>
          </w:p>
        </w:tc>
      </w:tr>
      <w:tr w:rsidR="00170EAC" w:rsidRPr="00A301F1" w:rsidTr="002E5ABD">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1</w:t>
            </w:r>
          </w:p>
        </w:tc>
        <w:tc>
          <w:tcPr>
            <w:tcW w:w="2350"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Ministry of Works and Infrastructure</w:t>
            </w:r>
          </w:p>
        </w:tc>
        <w:tc>
          <w:tcPr>
            <w:tcW w:w="4111" w:type="dxa"/>
            <w:hideMark/>
          </w:tcPr>
          <w:p w:rsidR="00170EAC"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6"/>
                <w:szCs w:val="26"/>
                <w:lang w:val="en-GB"/>
              </w:rPr>
            </w:pPr>
            <w:r>
              <w:rPr>
                <w:rFonts w:eastAsia="Times New Roman" w:cs="Calibri"/>
                <w:color w:val="000000"/>
                <w:sz w:val="24"/>
                <w:szCs w:val="24"/>
                <w:lang w:val="en-GB" w:eastAsia="en-GB"/>
              </w:rPr>
              <w:t>Review of the C</w:t>
            </w:r>
            <w:r w:rsidRPr="00A301F1">
              <w:rPr>
                <w:rFonts w:eastAsia="Times New Roman" w:cs="Calibri"/>
                <w:color w:val="000000"/>
                <w:sz w:val="24"/>
                <w:szCs w:val="24"/>
                <w:lang w:val="en-GB" w:eastAsia="en-GB"/>
              </w:rPr>
              <w:t>ontract for the Construction of 7.13km Dual Carriage way from Emure Junction-AUD and from Ministry of Works-Iyere Junction</w:t>
            </w:r>
            <w:r w:rsidRPr="007345F1">
              <w:rPr>
                <w:rFonts w:eastAsia="Times New Roman" w:cs="Calibri"/>
                <w:color w:val="000000"/>
                <w:sz w:val="24"/>
                <w:szCs w:val="24"/>
                <w:lang w:val="en-GB" w:eastAsia="en-GB"/>
              </w:rPr>
              <w:t xml:space="preserve"> (</w:t>
            </w:r>
            <w:r>
              <w:rPr>
                <w:rFonts w:eastAsia="Times New Roman" w:cs="Calibri"/>
                <w:color w:val="000000"/>
                <w:sz w:val="24"/>
                <w:szCs w:val="24"/>
                <w:lang w:val="en-GB" w:eastAsia="en-GB"/>
              </w:rPr>
              <w:t xml:space="preserve">from </w:t>
            </w:r>
            <w:r w:rsidRPr="007345F1">
              <w:rPr>
                <w:rFonts w:eastAsia="Times New Roman" w:cs="Calibri"/>
                <w:dstrike/>
                <w:color w:val="000000"/>
                <w:sz w:val="24"/>
                <w:szCs w:val="24"/>
                <w:lang w:val="en-GB" w:eastAsia="en-GB"/>
              </w:rPr>
              <w:t>N</w:t>
            </w:r>
            <w:r>
              <w:rPr>
                <w:rFonts w:cs="Calibri"/>
                <w:color w:val="000000"/>
                <w:sz w:val="26"/>
                <w:szCs w:val="26"/>
              </w:rPr>
              <w:t>7,061,739,517.36 to</w:t>
            </w:r>
          </w:p>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7345F1">
              <w:rPr>
                <w:rFonts w:eastAsia="Times New Roman" w:cs="Calibri"/>
                <w:dstrike/>
                <w:color w:val="000000"/>
                <w:sz w:val="24"/>
                <w:szCs w:val="24"/>
                <w:lang w:val="en-GB" w:eastAsia="en-GB"/>
              </w:rPr>
              <w:t>N</w:t>
            </w:r>
            <w:r w:rsidRPr="007345F1">
              <w:rPr>
                <w:rFonts w:eastAsia="Times New Roman" w:cs="Calibri"/>
                <w:color w:val="000000"/>
                <w:sz w:val="24"/>
                <w:szCs w:val="24"/>
                <w:lang w:val="en-GB" w:eastAsia="en-GB"/>
              </w:rPr>
              <w:t>7,445,245,158.88)</w:t>
            </w:r>
          </w:p>
        </w:tc>
        <w:tc>
          <w:tcPr>
            <w:tcW w:w="1134"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Owo</w:t>
            </w:r>
          </w:p>
        </w:tc>
        <w:tc>
          <w:tcPr>
            <w:tcW w:w="2139" w:type="dxa"/>
            <w:hideMark/>
          </w:tcPr>
          <w:p w:rsidR="00170EAC" w:rsidRPr="00A301F1" w:rsidRDefault="00170EAC" w:rsidP="002E5AB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383,505,641.52</w:t>
            </w:r>
          </w:p>
        </w:tc>
      </w:tr>
      <w:tr w:rsidR="00170EAC" w:rsidRPr="00A301F1" w:rsidTr="002E5ABD">
        <w:trPr>
          <w:trHeight w:val="690"/>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2</w:t>
            </w:r>
          </w:p>
        </w:tc>
        <w:tc>
          <w:tcPr>
            <w:tcW w:w="2350"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Ministry of Works and Infrastructure</w:t>
            </w:r>
          </w:p>
        </w:tc>
        <w:tc>
          <w:tcPr>
            <w:tcW w:w="4111"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Construction of 5.49Km Gaga Community Roads</w:t>
            </w:r>
          </w:p>
        </w:tc>
        <w:tc>
          <w:tcPr>
            <w:tcW w:w="1134" w:type="dxa"/>
            <w:noWrap/>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Akure South</w:t>
            </w:r>
          </w:p>
        </w:tc>
        <w:tc>
          <w:tcPr>
            <w:tcW w:w="2139" w:type="dxa"/>
            <w:noWrap/>
            <w:hideMark/>
          </w:tcPr>
          <w:p w:rsidR="00170EAC" w:rsidRPr="00A301F1" w:rsidRDefault="00170EAC" w:rsidP="002E5AB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1,265,942,886.75</w:t>
            </w:r>
          </w:p>
        </w:tc>
      </w:tr>
      <w:tr w:rsidR="00170EAC" w:rsidRPr="00A301F1" w:rsidTr="002E5AB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3</w:t>
            </w:r>
          </w:p>
        </w:tc>
        <w:tc>
          <w:tcPr>
            <w:tcW w:w="2350"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Ministry of Works and Infrastructure</w:t>
            </w:r>
          </w:p>
        </w:tc>
        <w:tc>
          <w:tcPr>
            <w:tcW w:w="4111"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Construction of 3.5Km Iyere-Ipele Junction Road, Phase I</w:t>
            </w:r>
          </w:p>
        </w:tc>
        <w:tc>
          <w:tcPr>
            <w:tcW w:w="1134"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Ose</w:t>
            </w:r>
          </w:p>
        </w:tc>
        <w:tc>
          <w:tcPr>
            <w:tcW w:w="2139"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          591,142,604.27 </w:t>
            </w:r>
          </w:p>
        </w:tc>
      </w:tr>
      <w:tr w:rsidR="00170EAC" w:rsidRPr="00A301F1" w:rsidTr="002E5ABD">
        <w:trPr>
          <w:trHeight w:val="690"/>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4</w:t>
            </w:r>
          </w:p>
        </w:tc>
        <w:tc>
          <w:tcPr>
            <w:tcW w:w="2350"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Ministry of Works and Infrastructure</w:t>
            </w:r>
          </w:p>
        </w:tc>
        <w:tc>
          <w:tcPr>
            <w:tcW w:w="4111"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Construction of 4.5Km Iyere-Ipele Road, Phase II</w:t>
            </w:r>
          </w:p>
        </w:tc>
        <w:tc>
          <w:tcPr>
            <w:tcW w:w="1134" w:type="dxa"/>
            <w:noWrap/>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Ose</w:t>
            </w:r>
          </w:p>
        </w:tc>
        <w:tc>
          <w:tcPr>
            <w:tcW w:w="2139" w:type="dxa"/>
            <w:noWrap/>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          842,357,595.87 </w:t>
            </w:r>
          </w:p>
        </w:tc>
      </w:tr>
      <w:tr w:rsidR="00170EAC" w:rsidRPr="00A301F1" w:rsidTr="002E5ABD">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5</w:t>
            </w:r>
          </w:p>
        </w:tc>
        <w:tc>
          <w:tcPr>
            <w:tcW w:w="2350"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Ministry of Works and Infrastructure</w:t>
            </w:r>
          </w:p>
        </w:tc>
        <w:tc>
          <w:tcPr>
            <w:tcW w:w="4111"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Construction/Rehabilitation of 9.45km Molege Junction, Ute Township road</w:t>
            </w:r>
          </w:p>
        </w:tc>
        <w:tc>
          <w:tcPr>
            <w:tcW w:w="1134"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Ose</w:t>
            </w:r>
          </w:p>
        </w:tc>
        <w:tc>
          <w:tcPr>
            <w:tcW w:w="2139"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      1,182,389,114.83 </w:t>
            </w:r>
          </w:p>
        </w:tc>
      </w:tr>
      <w:tr w:rsidR="00170EAC" w:rsidRPr="00A301F1" w:rsidTr="002E5ABD">
        <w:trPr>
          <w:trHeight w:val="934"/>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6</w:t>
            </w:r>
          </w:p>
        </w:tc>
        <w:tc>
          <w:tcPr>
            <w:tcW w:w="2350"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Ministry of Works and Infrastructure</w:t>
            </w:r>
          </w:p>
        </w:tc>
        <w:tc>
          <w:tcPr>
            <w:tcW w:w="4111"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Construction of Interchange/Fly over Bridge </w:t>
            </w:r>
            <w:r>
              <w:rPr>
                <w:rFonts w:eastAsia="Times New Roman" w:cs="Calibri"/>
                <w:color w:val="000000"/>
                <w:sz w:val="24"/>
                <w:szCs w:val="24"/>
                <w:lang w:val="en-GB" w:eastAsia="en-GB"/>
              </w:rPr>
              <w:t>Acros</w:t>
            </w:r>
            <w:r w:rsidRPr="00A301F1">
              <w:rPr>
                <w:rFonts w:eastAsia="Times New Roman" w:cs="Calibri"/>
                <w:color w:val="000000"/>
                <w:sz w:val="24"/>
                <w:szCs w:val="24"/>
                <w:lang w:val="en-GB" w:eastAsia="en-GB"/>
              </w:rPr>
              <w:t>s Lagos-Benin express way in Ore</w:t>
            </w:r>
          </w:p>
        </w:tc>
        <w:tc>
          <w:tcPr>
            <w:tcW w:w="1134" w:type="dxa"/>
            <w:noWrap/>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Odigbo</w:t>
            </w:r>
          </w:p>
        </w:tc>
        <w:tc>
          <w:tcPr>
            <w:tcW w:w="2139" w:type="dxa"/>
            <w:noWrap/>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      5,047,246,197.78 </w:t>
            </w:r>
          </w:p>
        </w:tc>
      </w:tr>
      <w:tr w:rsidR="00170EAC" w:rsidRPr="00A301F1" w:rsidTr="002E5ABD">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7</w:t>
            </w:r>
          </w:p>
        </w:tc>
        <w:tc>
          <w:tcPr>
            <w:tcW w:w="2350"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Ministry of Lands and Housing</w:t>
            </w:r>
          </w:p>
        </w:tc>
        <w:tc>
          <w:tcPr>
            <w:tcW w:w="4111"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Rehabilitation/Restructuring of OSRC Headquarters Building, Orita-Obele, Akure</w:t>
            </w:r>
          </w:p>
        </w:tc>
        <w:tc>
          <w:tcPr>
            <w:tcW w:w="1134"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Akure South</w:t>
            </w:r>
          </w:p>
        </w:tc>
        <w:tc>
          <w:tcPr>
            <w:tcW w:w="2139"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          220,719,349.32 </w:t>
            </w:r>
          </w:p>
        </w:tc>
      </w:tr>
      <w:tr w:rsidR="00170EAC" w:rsidRPr="00A301F1" w:rsidTr="002E5ABD">
        <w:trPr>
          <w:trHeight w:val="1388"/>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8</w:t>
            </w:r>
          </w:p>
        </w:tc>
        <w:tc>
          <w:tcPr>
            <w:tcW w:w="2350"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Ondo State Oil Producing Areas Development Commission</w:t>
            </w:r>
          </w:p>
        </w:tc>
        <w:tc>
          <w:tcPr>
            <w:tcW w:w="4111" w:type="dxa"/>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Construction of 18.</w:t>
            </w:r>
            <w:r>
              <w:rPr>
                <w:rFonts w:eastAsia="Times New Roman" w:cs="Calibri"/>
                <w:color w:val="000000"/>
                <w:sz w:val="24"/>
                <w:szCs w:val="24"/>
                <w:lang w:val="en-GB" w:eastAsia="en-GB"/>
              </w:rPr>
              <w:t>850km (CH 0+000-18+850km) Dual C</w:t>
            </w:r>
            <w:r w:rsidRPr="00A301F1">
              <w:rPr>
                <w:rFonts w:eastAsia="Times New Roman" w:cs="Calibri"/>
                <w:color w:val="000000"/>
                <w:sz w:val="24"/>
                <w:szCs w:val="24"/>
                <w:lang w:val="en-GB" w:eastAsia="en-GB"/>
              </w:rPr>
              <w:t>oast Carriageway Phase (1) Right side from Araromi seaside to Awodikora/OKLNG</w:t>
            </w:r>
          </w:p>
        </w:tc>
        <w:tc>
          <w:tcPr>
            <w:tcW w:w="1134" w:type="dxa"/>
            <w:noWrap/>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Ilaje</w:t>
            </w:r>
          </w:p>
        </w:tc>
        <w:tc>
          <w:tcPr>
            <w:tcW w:w="2139" w:type="dxa"/>
            <w:noWrap/>
            <w:hideMark/>
          </w:tcPr>
          <w:p w:rsidR="00170EAC" w:rsidRPr="00A301F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    16,962,440,594.88 </w:t>
            </w:r>
          </w:p>
        </w:tc>
      </w:tr>
      <w:tr w:rsidR="00170EAC" w:rsidRPr="00A301F1" w:rsidTr="002E5ABD">
        <w:trPr>
          <w:cnfStyle w:val="000000100000" w:firstRow="0" w:lastRow="0" w:firstColumn="0" w:lastColumn="0" w:oddVBand="0" w:evenVBand="0" w:oddHBand="1" w:evenHBand="0" w:firstRowFirstColumn="0" w:firstRowLastColumn="0" w:lastRowFirstColumn="0" w:lastRowLastColumn="0"/>
          <w:trHeight w:val="1481"/>
        </w:trPr>
        <w:tc>
          <w:tcPr>
            <w:cnfStyle w:val="001000000000" w:firstRow="0" w:lastRow="0" w:firstColumn="1" w:lastColumn="0" w:oddVBand="0" w:evenVBand="0" w:oddHBand="0" w:evenHBand="0" w:firstRowFirstColumn="0" w:firstRowLastColumn="0" w:lastRowFirstColumn="0" w:lastRowLastColumn="0"/>
            <w:tcW w:w="622" w:type="dxa"/>
            <w:hideMark/>
          </w:tcPr>
          <w:p w:rsidR="00170EAC" w:rsidRPr="00A301F1" w:rsidRDefault="00170EAC" w:rsidP="002E5ABD">
            <w:pPr>
              <w:spacing w:after="0" w:line="240" w:lineRule="auto"/>
              <w:jc w:val="right"/>
              <w:rPr>
                <w:rFonts w:eastAsia="Times New Roman" w:cs="Calibri"/>
                <w:color w:val="000000"/>
                <w:sz w:val="24"/>
                <w:szCs w:val="24"/>
                <w:lang w:val="en-GB" w:eastAsia="en-GB"/>
              </w:rPr>
            </w:pPr>
            <w:r w:rsidRPr="00A301F1">
              <w:rPr>
                <w:rFonts w:eastAsia="Times New Roman" w:cs="Calibri"/>
                <w:color w:val="000000"/>
                <w:sz w:val="24"/>
                <w:szCs w:val="24"/>
                <w:lang w:val="en-GB" w:eastAsia="en-GB"/>
              </w:rPr>
              <w:t>9</w:t>
            </w:r>
          </w:p>
        </w:tc>
        <w:tc>
          <w:tcPr>
            <w:tcW w:w="2350"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Ondo State Oil Producing Areas Development Commission</w:t>
            </w:r>
          </w:p>
        </w:tc>
        <w:tc>
          <w:tcPr>
            <w:tcW w:w="4111" w:type="dxa"/>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Construction of 1</w:t>
            </w:r>
            <w:r>
              <w:rPr>
                <w:rFonts w:eastAsia="Times New Roman" w:cs="Calibri"/>
                <w:color w:val="000000"/>
                <w:sz w:val="24"/>
                <w:szCs w:val="24"/>
                <w:lang w:val="en-GB" w:eastAsia="en-GB"/>
              </w:rPr>
              <w:t>8.650km (CH 18 -37+500km) Dual C</w:t>
            </w:r>
            <w:r w:rsidRPr="00A301F1">
              <w:rPr>
                <w:rFonts w:eastAsia="Times New Roman" w:cs="Calibri"/>
                <w:color w:val="000000"/>
                <w:sz w:val="24"/>
                <w:szCs w:val="24"/>
                <w:lang w:val="en-GB" w:eastAsia="en-GB"/>
              </w:rPr>
              <w:t>oast Carriageway Phase (1) Right side  Awodikora/OKLNG to Akodo-Lekki, Lagos</w:t>
            </w:r>
          </w:p>
        </w:tc>
        <w:tc>
          <w:tcPr>
            <w:tcW w:w="1134"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Ilaje</w:t>
            </w:r>
          </w:p>
        </w:tc>
        <w:tc>
          <w:tcPr>
            <w:tcW w:w="2139" w:type="dxa"/>
            <w:noWrap/>
            <w:hideMark/>
          </w:tcPr>
          <w:p w:rsidR="00170EAC" w:rsidRPr="00A301F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4"/>
                <w:szCs w:val="24"/>
                <w:lang w:val="en-GB" w:eastAsia="en-GB"/>
              </w:rPr>
            </w:pPr>
            <w:r w:rsidRPr="00A301F1">
              <w:rPr>
                <w:rFonts w:eastAsia="Times New Roman" w:cs="Calibri"/>
                <w:color w:val="000000"/>
                <w:sz w:val="24"/>
                <w:szCs w:val="24"/>
                <w:lang w:val="en-GB" w:eastAsia="en-GB"/>
              </w:rPr>
              <w:t xml:space="preserve">    15,757,878,542.80 </w:t>
            </w:r>
          </w:p>
        </w:tc>
      </w:tr>
      <w:tr w:rsidR="00170EAC" w:rsidRPr="00A301F1" w:rsidTr="002E5ABD">
        <w:trPr>
          <w:trHeight w:val="345"/>
        </w:trPr>
        <w:tc>
          <w:tcPr>
            <w:cnfStyle w:val="001000000000" w:firstRow="0" w:lastRow="0" w:firstColumn="1" w:lastColumn="0" w:oddVBand="0" w:evenVBand="0" w:oddHBand="0" w:evenHBand="0" w:firstRowFirstColumn="0" w:firstRowLastColumn="0" w:lastRowFirstColumn="0" w:lastRowLastColumn="0"/>
            <w:tcW w:w="8217" w:type="dxa"/>
            <w:gridSpan w:val="4"/>
            <w:noWrap/>
            <w:hideMark/>
          </w:tcPr>
          <w:p w:rsidR="00170EAC" w:rsidRPr="00A301F1" w:rsidRDefault="00170EAC" w:rsidP="002E5ABD">
            <w:pPr>
              <w:spacing w:after="0" w:line="240" w:lineRule="auto"/>
              <w:jc w:val="center"/>
              <w:rPr>
                <w:rFonts w:eastAsia="Times New Roman" w:cs="Calibri"/>
                <w:b w:val="0"/>
                <w:bCs w:val="0"/>
                <w:color w:val="000000"/>
                <w:sz w:val="24"/>
                <w:szCs w:val="24"/>
                <w:lang w:val="en-GB" w:eastAsia="en-GB"/>
              </w:rPr>
            </w:pPr>
            <w:r w:rsidRPr="00A301F1">
              <w:rPr>
                <w:rFonts w:eastAsia="Times New Roman" w:cs="Calibri"/>
                <w:color w:val="000000"/>
                <w:sz w:val="24"/>
                <w:szCs w:val="24"/>
                <w:lang w:val="en-GB" w:eastAsia="en-GB"/>
              </w:rPr>
              <w:t>TOTAL</w:t>
            </w:r>
          </w:p>
        </w:tc>
        <w:tc>
          <w:tcPr>
            <w:tcW w:w="2139" w:type="dxa"/>
            <w:noWrap/>
            <w:hideMark/>
          </w:tcPr>
          <w:p w:rsidR="00170EAC" w:rsidRPr="00A301F1" w:rsidRDefault="00170EAC" w:rsidP="002E5AB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4"/>
                <w:szCs w:val="24"/>
                <w:lang w:val="en-GB" w:eastAsia="en-GB"/>
              </w:rPr>
            </w:pPr>
            <w:r w:rsidRPr="00A301F1">
              <w:rPr>
                <w:rFonts w:eastAsia="Times New Roman" w:cs="Calibri"/>
                <w:b/>
                <w:bCs/>
                <w:color w:val="000000"/>
                <w:sz w:val="24"/>
                <w:szCs w:val="24"/>
                <w:lang w:val="en-GB" w:eastAsia="en-GB"/>
              </w:rPr>
              <w:t>42,253,622,528.02</w:t>
            </w:r>
          </w:p>
        </w:tc>
      </w:tr>
    </w:tbl>
    <w:p w:rsidR="00170EAC" w:rsidRDefault="00170EAC" w:rsidP="00170EAC">
      <w:pPr>
        <w:pStyle w:val="NoSpacing"/>
        <w:spacing w:line="480" w:lineRule="auto"/>
        <w:jc w:val="both"/>
        <w:rPr>
          <w:rFonts w:ascii="Tahoma" w:eastAsia="Tahoma" w:hAnsi="Tahoma" w:cs="Tahoma"/>
          <w:b/>
          <w:color w:val="000000"/>
          <w:sz w:val="26"/>
          <w:szCs w:val="26"/>
        </w:rPr>
      </w:pPr>
      <w:r w:rsidRPr="007345F1">
        <w:rPr>
          <w:rFonts w:ascii="Tahoma" w:eastAsia="Tahoma" w:hAnsi="Tahoma" w:cs="Tahoma"/>
          <w:b/>
          <w:color w:val="000000"/>
          <w:sz w:val="26"/>
          <w:szCs w:val="26"/>
        </w:rPr>
        <w:t xml:space="preserve">Table 4.1: Breakdown of Projects Awarded </w:t>
      </w:r>
    </w:p>
    <w:p w:rsidR="00170EAC" w:rsidRDefault="00170EAC" w:rsidP="00170EAC">
      <w:pPr>
        <w:pStyle w:val="NoSpacing"/>
        <w:spacing w:line="480" w:lineRule="auto"/>
        <w:jc w:val="both"/>
        <w:rPr>
          <w:rFonts w:ascii="Tahoma" w:eastAsia="Tahoma" w:hAnsi="Tahoma" w:cs="Tahoma"/>
          <w:color w:val="000000"/>
        </w:rPr>
      </w:pPr>
      <w:r w:rsidRPr="007F3C87">
        <w:rPr>
          <w:rFonts w:ascii="Tahoma" w:eastAsia="Tahoma" w:hAnsi="Tahoma" w:cs="Tahoma"/>
          <w:b/>
          <w:color w:val="000000"/>
        </w:rPr>
        <w:t>Source:</w:t>
      </w:r>
      <w:r w:rsidRPr="007F3C87">
        <w:rPr>
          <w:rFonts w:ascii="Tahoma" w:eastAsia="Tahoma" w:hAnsi="Tahoma" w:cs="Tahoma"/>
          <w:color w:val="000000"/>
        </w:rPr>
        <w:t xml:space="preserve"> Cabinet and Special Serv</w:t>
      </w:r>
      <w:r>
        <w:rPr>
          <w:rFonts w:ascii="Tahoma" w:eastAsia="Tahoma" w:hAnsi="Tahoma" w:cs="Tahoma"/>
          <w:color w:val="000000"/>
        </w:rPr>
        <w:t>ices Department</w:t>
      </w:r>
    </w:p>
    <w:p w:rsidR="00170EAC" w:rsidRDefault="00170EAC" w:rsidP="00170EAC">
      <w:pPr>
        <w:pStyle w:val="NoSpacing"/>
        <w:spacing w:line="480" w:lineRule="auto"/>
        <w:jc w:val="both"/>
        <w:rPr>
          <w:rFonts w:ascii="Tahoma" w:eastAsia="Tahoma" w:hAnsi="Tahoma" w:cs="Tahoma"/>
          <w:b/>
          <w:color w:val="000000"/>
          <w:sz w:val="26"/>
          <w:szCs w:val="26"/>
        </w:rPr>
      </w:pPr>
    </w:p>
    <w:p w:rsidR="00170EAC" w:rsidRDefault="00170EAC" w:rsidP="00170EAC">
      <w:pPr>
        <w:pStyle w:val="NoSpacing"/>
        <w:spacing w:line="480" w:lineRule="auto"/>
        <w:jc w:val="both"/>
        <w:rPr>
          <w:rFonts w:ascii="Tahoma" w:eastAsia="Tahoma" w:hAnsi="Tahoma" w:cs="Tahoma"/>
          <w:b/>
          <w:color w:val="000000"/>
          <w:sz w:val="26"/>
          <w:szCs w:val="26"/>
        </w:rPr>
      </w:pPr>
    </w:p>
    <w:p w:rsidR="00170EAC" w:rsidRDefault="00170EAC" w:rsidP="00170EAC">
      <w:pPr>
        <w:pStyle w:val="NoSpacing"/>
        <w:jc w:val="both"/>
        <w:rPr>
          <w:rFonts w:ascii="Tahoma" w:eastAsia="Tahoma" w:hAnsi="Tahoma" w:cs="Tahoma"/>
          <w:b/>
          <w:color w:val="000000"/>
          <w:sz w:val="28"/>
          <w:szCs w:val="28"/>
        </w:rPr>
      </w:pPr>
    </w:p>
    <w:p w:rsidR="00170EAC" w:rsidRDefault="00170EAC" w:rsidP="00170EAC">
      <w:pPr>
        <w:pStyle w:val="NoSpacing"/>
        <w:jc w:val="both"/>
        <w:rPr>
          <w:rFonts w:ascii="Tahoma" w:eastAsia="Tahoma" w:hAnsi="Tahoma" w:cs="Tahoma"/>
          <w:b/>
          <w:color w:val="000000"/>
          <w:sz w:val="28"/>
          <w:szCs w:val="28"/>
        </w:rPr>
      </w:pPr>
      <w:r w:rsidRPr="00934B01">
        <w:rPr>
          <w:rFonts w:ascii="Tahoma" w:eastAsia="Tahoma" w:hAnsi="Tahoma" w:cs="Tahoma"/>
          <w:b/>
          <w:color w:val="000000"/>
          <w:sz w:val="28"/>
          <w:szCs w:val="28"/>
        </w:rPr>
        <w:t xml:space="preserve">Table </w:t>
      </w:r>
      <w:r>
        <w:rPr>
          <w:rFonts w:ascii="Tahoma" w:eastAsia="Tahoma" w:hAnsi="Tahoma" w:cs="Tahoma"/>
          <w:b/>
          <w:color w:val="000000"/>
          <w:sz w:val="28"/>
          <w:szCs w:val="28"/>
        </w:rPr>
        <w:t xml:space="preserve">4.2: Summary of Projects Awarded Through STB between </w:t>
      </w:r>
    </w:p>
    <w:p w:rsidR="00170EAC" w:rsidRDefault="00CC67A1" w:rsidP="00170EAC">
      <w:pPr>
        <w:pStyle w:val="NoSpacing"/>
        <w:ind w:left="720" w:firstLine="720"/>
        <w:jc w:val="both"/>
        <w:rPr>
          <w:rFonts w:ascii="Tahoma" w:eastAsia="Tahoma" w:hAnsi="Tahoma" w:cs="Tahoma"/>
          <w:b/>
          <w:color w:val="000000"/>
          <w:sz w:val="28"/>
          <w:szCs w:val="28"/>
        </w:rPr>
      </w:pPr>
      <w:r>
        <w:rPr>
          <w:rFonts w:ascii="Tahoma" w:eastAsia="Tahoma" w:hAnsi="Tahoma" w:cs="Tahoma"/>
          <w:b/>
          <w:color w:val="000000"/>
          <w:sz w:val="28"/>
          <w:szCs w:val="28"/>
        </w:rPr>
        <w:t>January-March, 2019</w:t>
      </w:r>
    </w:p>
    <w:p w:rsidR="00170EAC" w:rsidRPr="00934B01" w:rsidRDefault="00170EAC" w:rsidP="00170EAC">
      <w:pPr>
        <w:pStyle w:val="NoSpacing"/>
        <w:jc w:val="both"/>
        <w:rPr>
          <w:rFonts w:ascii="Tahoma" w:eastAsia="Tahoma" w:hAnsi="Tahoma" w:cs="Tahoma"/>
          <w:b/>
          <w:color w:val="000000"/>
          <w:sz w:val="28"/>
          <w:szCs w:val="28"/>
        </w:rPr>
      </w:pPr>
    </w:p>
    <w:tbl>
      <w:tblPr>
        <w:tblStyle w:val="GridTable5Dark-Accent6"/>
        <w:tblW w:w="9251" w:type="dxa"/>
        <w:tblLook w:val="04A0" w:firstRow="1" w:lastRow="0" w:firstColumn="1" w:lastColumn="0" w:noHBand="0" w:noVBand="1"/>
      </w:tblPr>
      <w:tblGrid>
        <w:gridCol w:w="692"/>
        <w:gridCol w:w="4406"/>
        <w:gridCol w:w="1460"/>
        <w:gridCol w:w="2693"/>
      </w:tblGrid>
      <w:tr w:rsidR="00170EAC" w:rsidRPr="00D833A5" w:rsidTr="002E5AB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92" w:type="dxa"/>
            <w:noWrap/>
            <w:hideMark/>
          </w:tcPr>
          <w:p w:rsidR="00170EAC" w:rsidRPr="00BE4C66" w:rsidRDefault="00170EAC" w:rsidP="002E5ABD">
            <w:pPr>
              <w:spacing w:after="0" w:line="240" w:lineRule="auto"/>
              <w:rPr>
                <w:rFonts w:ascii="Tahoma" w:eastAsia="Times New Roman" w:hAnsi="Tahoma" w:cs="Tahoma"/>
                <w:b w:val="0"/>
                <w:color w:val="000000"/>
                <w:sz w:val="24"/>
                <w:szCs w:val="24"/>
                <w:lang w:eastAsia="en-GB"/>
              </w:rPr>
            </w:pPr>
            <w:r w:rsidRPr="00BE4C66">
              <w:rPr>
                <w:rFonts w:ascii="Tahoma" w:eastAsia="Times New Roman" w:hAnsi="Tahoma" w:cs="Tahoma"/>
                <w:color w:val="000000"/>
                <w:sz w:val="24"/>
                <w:szCs w:val="24"/>
                <w:lang w:eastAsia="en-GB"/>
              </w:rPr>
              <w:t>S/N</w:t>
            </w:r>
          </w:p>
        </w:tc>
        <w:tc>
          <w:tcPr>
            <w:tcW w:w="4406" w:type="dxa"/>
            <w:noWrap/>
            <w:hideMark/>
          </w:tcPr>
          <w:p w:rsidR="00170EAC" w:rsidRPr="00BE4C66" w:rsidRDefault="00170EAC" w:rsidP="002E5ABD">
            <w:pPr>
              <w:spacing w:after="0" w:line="24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color w:val="000000"/>
                <w:sz w:val="24"/>
                <w:szCs w:val="24"/>
                <w:lang w:eastAsia="en-GB"/>
              </w:rPr>
            </w:pPr>
            <w:r w:rsidRPr="00BE4C66">
              <w:rPr>
                <w:rFonts w:ascii="Tahoma" w:eastAsia="Times New Roman" w:hAnsi="Tahoma" w:cs="Tahoma"/>
                <w:color w:val="000000"/>
                <w:sz w:val="24"/>
                <w:szCs w:val="24"/>
                <w:lang w:eastAsia="en-GB"/>
              </w:rPr>
              <w:t>MEDAs</w:t>
            </w:r>
          </w:p>
        </w:tc>
        <w:tc>
          <w:tcPr>
            <w:tcW w:w="1460" w:type="dxa"/>
            <w:noWrap/>
            <w:hideMark/>
          </w:tcPr>
          <w:p w:rsidR="00170EAC" w:rsidRPr="00BE4C66" w:rsidRDefault="00170EAC" w:rsidP="002E5ABD">
            <w:pPr>
              <w:spacing w:after="0" w:line="24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color w:val="000000"/>
                <w:sz w:val="24"/>
                <w:szCs w:val="24"/>
                <w:lang w:eastAsia="en-GB"/>
              </w:rPr>
            </w:pPr>
            <w:r w:rsidRPr="00BE4C66">
              <w:rPr>
                <w:rFonts w:ascii="Tahoma" w:eastAsia="Times New Roman" w:hAnsi="Tahoma" w:cs="Tahoma"/>
                <w:color w:val="000000"/>
                <w:sz w:val="24"/>
                <w:szCs w:val="24"/>
                <w:lang w:eastAsia="en-GB"/>
              </w:rPr>
              <w:t>NUMBER OF PROJECTS</w:t>
            </w:r>
          </w:p>
        </w:tc>
        <w:tc>
          <w:tcPr>
            <w:tcW w:w="2693" w:type="dxa"/>
            <w:noWrap/>
            <w:hideMark/>
          </w:tcPr>
          <w:p w:rsidR="00170EAC" w:rsidRDefault="00170EAC" w:rsidP="002E5AB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TOTAL SUM</w:t>
            </w:r>
          </w:p>
          <w:p w:rsidR="00170EAC" w:rsidRPr="00170EAC" w:rsidRDefault="00170EAC" w:rsidP="002E5AB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dstrike/>
                <w:color w:val="000000"/>
                <w:sz w:val="24"/>
                <w:szCs w:val="24"/>
                <w:lang w:eastAsia="en-GB"/>
              </w:rPr>
            </w:pPr>
            <w:r w:rsidRPr="00170EAC">
              <w:rPr>
                <w:rFonts w:ascii="Tahoma" w:eastAsia="Times New Roman" w:hAnsi="Tahoma" w:cs="Tahoma"/>
                <w:dstrike/>
                <w:color w:val="000000"/>
                <w:sz w:val="24"/>
                <w:szCs w:val="24"/>
                <w:lang w:eastAsia="en-GB"/>
              </w:rPr>
              <w:t>N</w:t>
            </w:r>
          </w:p>
        </w:tc>
      </w:tr>
      <w:tr w:rsidR="00170EAC" w:rsidRPr="00D833A5" w:rsidTr="002E5ABD">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692" w:type="dxa"/>
            <w:noWrap/>
            <w:hideMark/>
          </w:tcPr>
          <w:p w:rsidR="00170EAC" w:rsidRPr="00BE4C66" w:rsidRDefault="00170EAC" w:rsidP="002E5ABD">
            <w:pPr>
              <w:spacing w:after="0" w:line="240" w:lineRule="auto"/>
              <w:jc w:val="right"/>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1</w:t>
            </w:r>
          </w:p>
        </w:tc>
        <w:tc>
          <w:tcPr>
            <w:tcW w:w="4406" w:type="dxa"/>
            <w:hideMark/>
          </w:tcPr>
          <w:p w:rsidR="00170EAC" w:rsidRPr="00BE4C66"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Ministry of Works and Infrastructure</w:t>
            </w:r>
          </w:p>
        </w:tc>
        <w:tc>
          <w:tcPr>
            <w:tcW w:w="1460" w:type="dxa"/>
            <w:noWrap/>
            <w:hideMark/>
          </w:tcPr>
          <w:p w:rsidR="00170EAC" w:rsidRPr="00BE4C66" w:rsidRDefault="00170EAC" w:rsidP="002E5AB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6</w:t>
            </w:r>
          </w:p>
        </w:tc>
        <w:tc>
          <w:tcPr>
            <w:tcW w:w="2693" w:type="dxa"/>
            <w:noWrap/>
            <w:hideMark/>
          </w:tcPr>
          <w:p w:rsidR="00170EAC" w:rsidRPr="0065008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4"/>
                <w:szCs w:val="24"/>
                <w:lang w:eastAsia="en-GB"/>
              </w:rPr>
            </w:pPr>
            <w:r w:rsidRPr="00650081">
              <w:rPr>
                <w:rFonts w:ascii="Tahoma" w:eastAsia="Times New Roman" w:hAnsi="Tahoma" w:cs="Tahoma"/>
                <w:color w:val="000000"/>
                <w:sz w:val="24"/>
                <w:szCs w:val="24"/>
                <w:lang w:eastAsia="en-GB"/>
              </w:rPr>
              <w:t xml:space="preserve">    </w:t>
            </w:r>
          </w:p>
          <w:p w:rsidR="00170EAC" w:rsidRPr="0065008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6"/>
                <w:szCs w:val="26"/>
                <w:lang w:val="en-GB"/>
              </w:rPr>
            </w:pPr>
            <w:r w:rsidRPr="00650081">
              <w:rPr>
                <w:rFonts w:cs="Calibri"/>
                <w:bCs/>
                <w:color w:val="000000"/>
                <w:sz w:val="26"/>
                <w:szCs w:val="26"/>
              </w:rPr>
              <w:t xml:space="preserve">      9,312,584,041.02 </w:t>
            </w:r>
          </w:p>
        </w:tc>
      </w:tr>
      <w:tr w:rsidR="00170EAC" w:rsidRPr="00D833A5" w:rsidTr="002E5ABD">
        <w:trPr>
          <w:trHeight w:val="587"/>
        </w:trPr>
        <w:tc>
          <w:tcPr>
            <w:cnfStyle w:val="001000000000" w:firstRow="0" w:lastRow="0" w:firstColumn="1" w:lastColumn="0" w:oddVBand="0" w:evenVBand="0" w:oddHBand="0" w:evenHBand="0" w:firstRowFirstColumn="0" w:firstRowLastColumn="0" w:lastRowFirstColumn="0" w:lastRowLastColumn="0"/>
            <w:tcW w:w="692" w:type="dxa"/>
            <w:noWrap/>
            <w:hideMark/>
          </w:tcPr>
          <w:p w:rsidR="00170EAC" w:rsidRPr="00BE4C66" w:rsidRDefault="00170EAC" w:rsidP="002E5ABD">
            <w:pPr>
              <w:spacing w:after="0" w:line="240" w:lineRule="auto"/>
              <w:jc w:val="right"/>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2</w:t>
            </w:r>
          </w:p>
        </w:tc>
        <w:tc>
          <w:tcPr>
            <w:tcW w:w="4406" w:type="dxa"/>
            <w:hideMark/>
          </w:tcPr>
          <w:p w:rsidR="00170EAC" w:rsidRPr="00BE4C66"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 xml:space="preserve">Ministry of </w:t>
            </w:r>
            <w:r>
              <w:rPr>
                <w:rFonts w:ascii="Tahoma" w:eastAsia="Times New Roman" w:hAnsi="Tahoma" w:cs="Tahoma"/>
                <w:color w:val="000000"/>
                <w:sz w:val="24"/>
                <w:szCs w:val="24"/>
                <w:lang w:eastAsia="en-GB"/>
              </w:rPr>
              <w:t>Lands and Housing</w:t>
            </w:r>
          </w:p>
        </w:tc>
        <w:tc>
          <w:tcPr>
            <w:tcW w:w="1460" w:type="dxa"/>
            <w:noWrap/>
            <w:hideMark/>
          </w:tcPr>
          <w:p w:rsidR="00170EAC" w:rsidRPr="00BE4C66" w:rsidRDefault="00170EAC" w:rsidP="002E5AB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1</w:t>
            </w:r>
          </w:p>
        </w:tc>
        <w:tc>
          <w:tcPr>
            <w:tcW w:w="2693" w:type="dxa"/>
            <w:noWrap/>
            <w:hideMark/>
          </w:tcPr>
          <w:p w:rsidR="00170EAC" w:rsidRPr="0065008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6"/>
                <w:szCs w:val="26"/>
                <w:lang w:val="en-GB"/>
              </w:rPr>
            </w:pPr>
            <w:r w:rsidRPr="00650081">
              <w:rPr>
                <w:rFonts w:cs="Calibri"/>
                <w:color w:val="000000"/>
                <w:sz w:val="26"/>
                <w:szCs w:val="26"/>
              </w:rPr>
              <w:t xml:space="preserve">          220,719,349.32 </w:t>
            </w:r>
          </w:p>
        </w:tc>
      </w:tr>
      <w:tr w:rsidR="00170EAC" w:rsidRPr="00D833A5" w:rsidTr="002E5ABD">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692" w:type="dxa"/>
            <w:noWrap/>
            <w:hideMark/>
          </w:tcPr>
          <w:p w:rsidR="00170EAC" w:rsidRPr="00BE4C66" w:rsidRDefault="00170EAC" w:rsidP="002E5ABD">
            <w:pPr>
              <w:spacing w:after="0" w:line="240" w:lineRule="auto"/>
              <w:jc w:val="right"/>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3</w:t>
            </w:r>
          </w:p>
        </w:tc>
        <w:tc>
          <w:tcPr>
            <w:tcW w:w="4406" w:type="dxa"/>
            <w:hideMark/>
          </w:tcPr>
          <w:p w:rsidR="00170EAC" w:rsidRPr="00BE4C66"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 xml:space="preserve"> Ondo State Oil Producing Areas Development Commission (OSOPADEC)</w:t>
            </w:r>
          </w:p>
        </w:tc>
        <w:tc>
          <w:tcPr>
            <w:tcW w:w="1460" w:type="dxa"/>
            <w:noWrap/>
            <w:hideMark/>
          </w:tcPr>
          <w:p w:rsidR="00170EAC" w:rsidRPr="00BE4C66" w:rsidRDefault="00170EAC" w:rsidP="002E5AB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2</w:t>
            </w:r>
          </w:p>
        </w:tc>
        <w:tc>
          <w:tcPr>
            <w:tcW w:w="2693" w:type="dxa"/>
            <w:noWrap/>
            <w:hideMark/>
          </w:tcPr>
          <w:p w:rsidR="00170EAC" w:rsidRPr="0065008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4"/>
                <w:szCs w:val="24"/>
                <w:lang w:eastAsia="en-GB"/>
              </w:rPr>
            </w:pPr>
            <w:r w:rsidRPr="00650081">
              <w:rPr>
                <w:rFonts w:ascii="Tahoma" w:eastAsia="Times New Roman" w:hAnsi="Tahoma" w:cs="Tahoma"/>
                <w:color w:val="000000"/>
                <w:sz w:val="24"/>
                <w:szCs w:val="24"/>
                <w:lang w:eastAsia="en-GB"/>
              </w:rPr>
              <w:t xml:space="preserve">     </w:t>
            </w:r>
          </w:p>
          <w:p w:rsidR="00170EAC" w:rsidRPr="00650081" w:rsidRDefault="00170EAC" w:rsidP="002E5AB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bCs/>
                <w:color w:val="000000"/>
                <w:sz w:val="26"/>
                <w:szCs w:val="26"/>
                <w:lang w:val="en-GB"/>
              </w:rPr>
            </w:pPr>
            <w:r w:rsidRPr="00650081">
              <w:rPr>
                <w:rFonts w:cs="Calibri"/>
                <w:bCs/>
                <w:color w:val="000000"/>
                <w:sz w:val="26"/>
                <w:szCs w:val="26"/>
              </w:rPr>
              <w:t xml:space="preserve">    32,720,319,137.68 </w:t>
            </w:r>
          </w:p>
        </w:tc>
      </w:tr>
      <w:tr w:rsidR="00170EAC" w:rsidRPr="00D833A5" w:rsidTr="002E5ABD">
        <w:trPr>
          <w:trHeight w:val="278"/>
        </w:trPr>
        <w:tc>
          <w:tcPr>
            <w:cnfStyle w:val="001000000000" w:firstRow="0" w:lastRow="0" w:firstColumn="1" w:lastColumn="0" w:oddVBand="0" w:evenVBand="0" w:oddHBand="0" w:evenHBand="0" w:firstRowFirstColumn="0" w:firstRowLastColumn="0" w:lastRowFirstColumn="0" w:lastRowLastColumn="0"/>
            <w:tcW w:w="692" w:type="dxa"/>
            <w:noWrap/>
            <w:hideMark/>
          </w:tcPr>
          <w:p w:rsidR="00170EAC" w:rsidRPr="00BE4C66" w:rsidRDefault="00170EAC" w:rsidP="002E5ABD">
            <w:pPr>
              <w:spacing w:after="0" w:line="240" w:lineRule="auto"/>
              <w:rPr>
                <w:rFonts w:ascii="Tahoma" w:eastAsia="Times New Roman" w:hAnsi="Tahoma" w:cs="Tahoma"/>
                <w:b w:val="0"/>
                <w:color w:val="000000"/>
                <w:sz w:val="24"/>
                <w:szCs w:val="24"/>
                <w:lang w:eastAsia="en-GB"/>
              </w:rPr>
            </w:pPr>
            <w:r w:rsidRPr="00BE4C66">
              <w:rPr>
                <w:rFonts w:ascii="Tahoma" w:eastAsia="Times New Roman" w:hAnsi="Tahoma" w:cs="Tahoma"/>
                <w:color w:val="000000"/>
                <w:sz w:val="24"/>
                <w:szCs w:val="24"/>
                <w:lang w:eastAsia="en-GB"/>
              </w:rPr>
              <w:t> </w:t>
            </w:r>
          </w:p>
        </w:tc>
        <w:tc>
          <w:tcPr>
            <w:tcW w:w="4406" w:type="dxa"/>
            <w:hideMark/>
          </w:tcPr>
          <w:p w:rsidR="00170EAC" w:rsidRPr="00BE4C66"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TOTAL</w:t>
            </w:r>
          </w:p>
        </w:tc>
        <w:tc>
          <w:tcPr>
            <w:tcW w:w="1460" w:type="dxa"/>
            <w:noWrap/>
            <w:hideMark/>
          </w:tcPr>
          <w:p w:rsidR="00170EAC" w:rsidRPr="00BE4C66" w:rsidRDefault="00170EAC" w:rsidP="002E5AB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000000"/>
                <w:sz w:val="24"/>
                <w:szCs w:val="24"/>
                <w:lang w:eastAsia="en-GB"/>
              </w:rPr>
            </w:pPr>
            <w:r>
              <w:rPr>
                <w:rFonts w:ascii="Tahoma" w:eastAsia="Times New Roman" w:hAnsi="Tahoma" w:cs="Tahoma"/>
                <w:b/>
                <w:color w:val="000000"/>
                <w:sz w:val="24"/>
                <w:szCs w:val="24"/>
                <w:lang w:eastAsia="en-GB"/>
              </w:rPr>
              <w:t>9</w:t>
            </w:r>
          </w:p>
        </w:tc>
        <w:tc>
          <w:tcPr>
            <w:tcW w:w="2693" w:type="dxa"/>
            <w:noWrap/>
            <w:hideMark/>
          </w:tcPr>
          <w:p w:rsidR="00170EAC" w:rsidRPr="00BE4C66"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 xml:space="preserve">    </w:t>
            </w:r>
          </w:p>
          <w:p w:rsidR="00170EAC" w:rsidRPr="00650081" w:rsidRDefault="00170EAC" w:rsidP="002E5AB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6"/>
                <w:szCs w:val="26"/>
                <w:lang w:val="en-GB"/>
              </w:rPr>
            </w:pPr>
            <w:r>
              <w:rPr>
                <w:rFonts w:cs="Calibri"/>
                <w:b/>
                <w:bCs/>
                <w:color w:val="000000"/>
                <w:sz w:val="26"/>
                <w:szCs w:val="26"/>
              </w:rPr>
              <w:t>42,253,622,528.02</w:t>
            </w:r>
          </w:p>
        </w:tc>
      </w:tr>
    </w:tbl>
    <w:p w:rsidR="00170EAC" w:rsidRPr="00170EAC" w:rsidRDefault="00170EAC" w:rsidP="00170EAC">
      <w:pPr>
        <w:pStyle w:val="NoSpacing"/>
        <w:spacing w:line="480" w:lineRule="auto"/>
        <w:jc w:val="both"/>
        <w:rPr>
          <w:rFonts w:ascii="Tahoma" w:eastAsia="Tahoma" w:hAnsi="Tahoma" w:cs="Tahoma"/>
          <w:color w:val="000000"/>
        </w:rPr>
      </w:pPr>
      <w:r w:rsidRPr="007F3C87">
        <w:rPr>
          <w:rFonts w:ascii="Tahoma" w:eastAsia="Tahoma" w:hAnsi="Tahoma" w:cs="Tahoma"/>
          <w:b/>
          <w:color w:val="000000"/>
        </w:rPr>
        <w:t>Source:</w:t>
      </w:r>
      <w:r w:rsidRPr="007F3C87">
        <w:rPr>
          <w:rFonts w:ascii="Tahoma" w:eastAsia="Tahoma" w:hAnsi="Tahoma" w:cs="Tahoma"/>
          <w:color w:val="000000"/>
        </w:rPr>
        <w:t xml:space="preserve"> Cabinet and Special Serv</w:t>
      </w:r>
      <w:r>
        <w:rPr>
          <w:rFonts w:ascii="Tahoma" w:eastAsia="Tahoma" w:hAnsi="Tahoma" w:cs="Tahoma"/>
          <w:color w:val="000000"/>
        </w:rPr>
        <w:t>ices Department</w:t>
      </w:r>
    </w:p>
    <w:p w:rsidR="00170EAC" w:rsidRPr="00934B01"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ahoma" w:hAnsi="Tahoma" w:cs="Tahoma"/>
          <w:color w:val="000000"/>
          <w:sz w:val="28"/>
          <w:szCs w:val="28"/>
        </w:rPr>
        <w:t>Table 4.2 shows that out of the nine (9) projects awarded between January and March, six (6) of the projects amoun</w:t>
      </w:r>
      <w:r w:rsidRPr="00934B01">
        <w:rPr>
          <w:rFonts w:ascii="Tahoma" w:eastAsia="Tahoma" w:hAnsi="Tahoma" w:cs="Tahoma"/>
          <w:color w:val="000000"/>
          <w:sz w:val="28"/>
          <w:szCs w:val="28"/>
        </w:rPr>
        <w:t xml:space="preserve">ting to </w:t>
      </w:r>
      <w:r w:rsidRPr="00315C8B">
        <w:rPr>
          <w:rFonts w:ascii="Tahoma" w:eastAsia="Tahoma" w:hAnsi="Tahoma" w:cs="Tahoma"/>
          <w:dstrike/>
          <w:color w:val="000000"/>
          <w:sz w:val="28"/>
          <w:szCs w:val="28"/>
        </w:rPr>
        <w:t>N</w:t>
      </w:r>
      <w:r>
        <w:rPr>
          <w:rFonts w:ascii="Tahoma" w:eastAsia="Tahoma" w:hAnsi="Tahoma" w:cs="Tahoma"/>
          <w:color w:val="000000"/>
          <w:sz w:val="28"/>
          <w:szCs w:val="28"/>
        </w:rPr>
        <w:t>9</w:t>
      </w:r>
      <w:r w:rsidRPr="00934B01">
        <w:rPr>
          <w:rFonts w:ascii="Tahoma" w:eastAsia="Tahoma" w:hAnsi="Tahoma" w:cs="Tahoma"/>
          <w:color w:val="000000"/>
          <w:sz w:val="28"/>
          <w:szCs w:val="28"/>
        </w:rPr>
        <w:t>.</w:t>
      </w:r>
      <w:r>
        <w:rPr>
          <w:rFonts w:ascii="Tahoma" w:eastAsia="Tahoma" w:hAnsi="Tahoma" w:cs="Tahoma"/>
          <w:color w:val="000000"/>
          <w:sz w:val="28"/>
          <w:szCs w:val="28"/>
        </w:rPr>
        <w:t xml:space="preserve">313 </w:t>
      </w:r>
      <w:r w:rsidRPr="00934B01">
        <w:rPr>
          <w:rFonts w:ascii="Tahoma" w:eastAsia="Tahoma" w:hAnsi="Tahoma" w:cs="Tahoma"/>
          <w:color w:val="000000"/>
          <w:sz w:val="28"/>
          <w:szCs w:val="28"/>
        </w:rPr>
        <w:t>billion</w:t>
      </w:r>
      <w:r>
        <w:rPr>
          <w:rFonts w:ascii="Tahoma" w:eastAsia="Tahoma" w:hAnsi="Tahoma" w:cs="Tahoma"/>
          <w:color w:val="000000"/>
          <w:sz w:val="28"/>
          <w:szCs w:val="28"/>
        </w:rPr>
        <w:t xml:space="preserve"> are to be implemented by Ministry of Works and Infrastructure</w:t>
      </w:r>
      <w:r w:rsidRPr="00934B01">
        <w:rPr>
          <w:rFonts w:ascii="Tahoma" w:eastAsia="Tahoma" w:hAnsi="Tahoma" w:cs="Tahoma"/>
          <w:color w:val="000000"/>
          <w:sz w:val="28"/>
          <w:szCs w:val="28"/>
        </w:rPr>
        <w:t xml:space="preserve">. </w:t>
      </w:r>
      <w:r>
        <w:rPr>
          <w:rFonts w:ascii="Tahoma" w:eastAsia="Times New Roman" w:hAnsi="Tahoma" w:cs="Tahoma"/>
          <w:bCs/>
          <w:color w:val="000000"/>
          <w:sz w:val="28"/>
          <w:szCs w:val="28"/>
          <w:lang w:eastAsia="en-GB"/>
        </w:rPr>
        <w:t>These projects were majorly dualisation</w:t>
      </w:r>
      <w:r w:rsidRPr="00934B01">
        <w:rPr>
          <w:rFonts w:ascii="Tahoma" w:eastAsia="Times New Roman" w:hAnsi="Tahoma" w:cs="Tahoma"/>
          <w:bCs/>
          <w:color w:val="000000"/>
          <w:sz w:val="28"/>
          <w:szCs w:val="28"/>
          <w:lang w:eastAsia="en-GB"/>
        </w:rPr>
        <w:t xml:space="preserve">, construction and rehabilitation of </w:t>
      </w:r>
      <w:r>
        <w:rPr>
          <w:rFonts w:ascii="Tahoma" w:eastAsia="Times New Roman" w:hAnsi="Tahoma" w:cs="Tahoma"/>
          <w:bCs/>
          <w:color w:val="000000"/>
          <w:sz w:val="28"/>
          <w:szCs w:val="28"/>
          <w:lang w:eastAsia="en-GB"/>
        </w:rPr>
        <w:t xml:space="preserve">township </w:t>
      </w:r>
      <w:r w:rsidRPr="00934B01">
        <w:rPr>
          <w:rFonts w:ascii="Tahoma" w:eastAsia="Times New Roman" w:hAnsi="Tahoma" w:cs="Tahoma"/>
          <w:bCs/>
          <w:color w:val="000000"/>
          <w:sz w:val="28"/>
          <w:szCs w:val="28"/>
          <w:lang w:eastAsia="en-GB"/>
        </w:rPr>
        <w:t>roads</w:t>
      </w:r>
      <w:r>
        <w:rPr>
          <w:rFonts w:ascii="Tahoma" w:eastAsia="Times New Roman" w:hAnsi="Tahoma" w:cs="Tahoma"/>
          <w:bCs/>
          <w:color w:val="000000"/>
          <w:sz w:val="28"/>
          <w:szCs w:val="28"/>
          <w:lang w:eastAsia="en-GB"/>
        </w:rPr>
        <w:t xml:space="preserve"> in Owo, Akure South, Ose and Odigbo LGAs</w:t>
      </w:r>
      <w:r w:rsidRPr="00934B01">
        <w:rPr>
          <w:rFonts w:ascii="Tahoma" w:eastAsia="Times New Roman" w:hAnsi="Tahoma" w:cs="Tahoma"/>
          <w:bCs/>
          <w:color w:val="000000"/>
          <w:sz w:val="28"/>
          <w:szCs w:val="28"/>
          <w:lang w:eastAsia="en-GB"/>
        </w:rPr>
        <w:t>.</w:t>
      </w: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imes New Roman" w:hAnsi="Tahoma" w:cs="Tahoma"/>
          <w:bCs/>
          <w:color w:val="000000"/>
          <w:sz w:val="28"/>
          <w:szCs w:val="28"/>
          <w:lang w:eastAsia="en-GB"/>
        </w:rPr>
        <w:t xml:space="preserve">Within the same period, </w:t>
      </w:r>
      <w:r w:rsidRPr="00934B01">
        <w:rPr>
          <w:rFonts w:ascii="Tahoma" w:eastAsia="Times New Roman" w:hAnsi="Tahoma" w:cs="Tahoma"/>
          <w:bCs/>
          <w:color w:val="000000"/>
          <w:sz w:val="28"/>
          <w:szCs w:val="28"/>
          <w:lang w:eastAsia="en-GB"/>
        </w:rPr>
        <w:t>Ondo State Oil Producing Areas D</w:t>
      </w:r>
      <w:r>
        <w:rPr>
          <w:rFonts w:ascii="Tahoma" w:eastAsia="Times New Roman" w:hAnsi="Tahoma" w:cs="Tahoma"/>
          <w:bCs/>
          <w:color w:val="000000"/>
          <w:sz w:val="28"/>
          <w:szCs w:val="28"/>
          <w:lang w:eastAsia="en-GB"/>
        </w:rPr>
        <w:t>evelopment Commission (OSOPADEC) awarded two (2)</w:t>
      </w:r>
      <w:r w:rsidRPr="00934B01">
        <w:rPr>
          <w:rFonts w:ascii="Tahoma" w:eastAsia="Times New Roman" w:hAnsi="Tahoma" w:cs="Tahoma"/>
          <w:bCs/>
          <w:color w:val="000000"/>
          <w:sz w:val="28"/>
          <w:szCs w:val="28"/>
          <w:lang w:eastAsia="en-GB"/>
        </w:rPr>
        <w:t xml:space="preserve"> projects</w:t>
      </w:r>
      <w:r>
        <w:rPr>
          <w:rFonts w:ascii="Tahoma" w:eastAsia="Times New Roman" w:hAnsi="Tahoma" w:cs="Tahoma"/>
          <w:bCs/>
          <w:color w:val="000000"/>
          <w:sz w:val="28"/>
          <w:szCs w:val="28"/>
          <w:lang w:eastAsia="en-GB"/>
        </w:rPr>
        <w:t xml:space="preserve"> amounting</w:t>
      </w:r>
      <w:r w:rsidRPr="00934B01">
        <w:rPr>
          <w:rFonts w:ascii="Tahoma" w:eastAsia="Times New Roman" w:hAnsi="Tahoma" w:cs="Tahoma"/>
          <w:bCs/>
          <w:color w:val="000000"/>
          <w:sz w:val="28"/>
          <w:szCs w:val="28"/>
          <w:lang w:eastAsia="en-GB"/>
        </w:rPr>
        <w:t xml:space="preserve"> to </w:t>
      </w:r>
      <w:r w:rsidRPr="00315C8B">
        <w:rPr>
          <w:rFonts w:ascii="Tahoma" w:eastAsia="Tahoma" w:hAnsi="Tahoma" w:cs="Tahoma"/>
          <w:dstrike/>
          <w:color w:val="000000"/>
          <w:sz w:val="28"/>
          <w:szCs w:val="28"/>
        </w:rPr>
        <w:t>N</w:t>
      </w:r>
      <w:r>
        <w:rPr>
          <w:rFonts w:ascii="Tahoma" w:eastAsia="Times New Roman" w:hAnsi="Tahoma" w:cs="Tahoma"/>
          <w:bCs/>
          <w:color w:val="000000"/>
          <w:sz w:val="28"/>
          <w:szCs w:val="28"/>
          <w:lang w:eastAsia="en-GB"/>
        </w:rPr>
        <w:t xml:space="preserve">32.720 billion to be executed in Ilaje LGA in </w:t>
      </w:r>
      <w:r w:rsidRPr="00934B01">
        <w:rPr>
          <w:rFonts w:ascii="Tahoma" w:eastAsia="Times New Roman" w:hAnsi="Tahoma" w:cs="Tahoma"/>
          <w:bCs/>
          <w:color w:val="000000"/>
          <w:sz w:val="28"/>
          <w:szCs w:val="28"/>
          <w:lang w:eastAsia="en-GB"/>
        </w:rPr>
        <w:t>the South</w:t>
      </w:r>
      <w:r>
        <w:rPr>
          <w:rFonts w:ascii="Tahoma" w:eastAsia="Times New Roman" w:hAnsi="Tahoma" w:cs="Tahoma"/>
          <w:bCs/>
          <w:color w:val="000000"/>
          <w:sz w:val="28"/>
          <w:szCs w:val="28"/>
          <w:lang w:eastAsia="en-GB"/>
        </w:rPr>
        <w:t>ern Senatorial District</w:t>
      </w:r>
      <w:r w:rsidRPr="00934B01">
        <w:rPr>
          <w:rFonts w:ascii="Tahoma" w:eastAsia="Times New Roman" w:hAnsi="Tahoma" w:cs="Tahoma"/>
          <w:bCs/>
          <w:color w:val="000000"/>
          <w:sz w:val="28"/>
          <w:szCs w:val="28"/>
          <w:lang w:eastAsia="en-GB"/>
        </w:rPr>
        <w:t xml:space="preserve"> of</w:t>
      </w:r>
      <w:r>
        <w:rPr>
          <w:rFonts w:ascii="Tahoma" w:eastAsia="Times New Roman" w:hAnsi="Tahoma" w:cs="Tahoma"/>
          <w:bCs/>
          <w:color w:val="000000"/>
          <w:sz w:val="28"/>
          <w:szCs w:val="28"/>
          <w:lang w:eastAsia="en-GB"/>
        </w:rPr>
        <w:t xml:space="preserve"> the State. </w:t>
      </w: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imes New Roman" w:hAnsi="Tahoma" w:cs="Tahoma"/>
          <w:bCs/>
          <w:color w:val="000000"/>
          <w:sz w:val="28"/>
          <w:szCs w:val="28"/>
          <w:lang w:eastAsia="en-GB"/>
        </w:rPr>
        <w:t xml:space="preserve">In similar manner, </w:t>
      </w:r>
      <w:r w:rsidRPr="00934B01">
        <w:rPr>
          <w:rFonts w:ascii="Tahoma" w:eastAsia="Times New Roman" w:hAnsi="Tahoma" w:cs="Tahoma"/>
          <w:bCs/>
          <w:color w:val="000000"/>
          <w:sz w:val="28"/>
          <w:szCs w:val="28"/>
          <w:lang w:eastAsia="en-GB"/>
        </w:rPr>
        <w:t xml:space="preserve">Ministry of </w:t>
      </w:r>
      <w:r>
        <w:rPr>
          <w:rFonts w:ascii="Tahoma" w:eastAsia="Times New Roman" w:hAnsi="Tahoma" w:cs="Tahoma"/>
          <w:bCs/>
          <w:color w:val="000000"/>
          <w:sz w:val="28"/>
          <w:szCs w:val="28"/>
          <w:lang w:eastAsia="en-GB"/>
        </w:rPr>
        <w:t>Lands and Housing awarded a project for the rehabilitation/r</w:t>
      </w:r>
      <w:r w:rsidRPr="00DE4A63">
        <w:rPr>
          <w:rFonts w:ascii="Tahoma" w:eastAsia="Times New Roman" w:hAnsi="Tahoma" w:cs="Tahoma"/>
          <w:bCs/>
          <w:color w:val="000000"/>
          <w:sz w:val="28"/>
          <w:szCs w:val="28"/>
          <w:lang w:eastAsia="en-GB"/>
        </w:rPr>
        <w:t>est</w:t>
      </w:r>
      <w:r>
        <w:rPr>
          <w:rFonts w:ascii="Tahoma" w:eastAsia="Times New Roman" w:hAnsi="Tahoma" w:cs="Tahoma"/>
          <w:bCs/>
          <w:color w:val="000000"/>
          <w:sz w:val="28"/>
          <w:szCs w:val="28"/>
          <w:lang w:eastAsia="en-GB"/>
        </w:rPr>
        <w:t>ructuring of OSRC Headquarters b</w:t>
      </w:r>
      <w:r w:rsidRPr="00DE4A63">
        <w:rPr>
          <w:rFonts w:ascii="Tahoma" w:eastAsia="Times New Roman" w:hAnsi="Tahoma" w:cs="Tahoma"/>
          <w:bCs/>
          <w:color w:val="000000"/>
          <w:sz w:val="28"/>
          <w:szCs w:val="28"/>
          <w:lang w:eastAsia="en-GB"/>
        </w:rPr>
        <w:t>uilding, Orita-Obele, Akure</w:t>
      </w:r>
      <w:r>
        <w:rPr>
          <w:rFonts w:ascii="Tahoma" w:eastAsia="Times New Roman" w:hAnsi="Tahoma" w:cs="Tahoma"/>
          <w:bCs/>
          <w:color w:val="000000"/>
          <w:sz w:val="28"/>
          <w:szCs w:val="28"/>
          <w:lang w:eastAsia="en-GB"/>
        </w:rPr>
        <w:t>, amounting</w:t>
      </w:r>
      <w:r w:rsidRPr="00934B01">
        <w:rPr>
          <w:rFonts w:ascii="Tahoma" w:eastAsia="Times New Roman" w:hAnsi="Tahoma" w:cs="Tahoma"/>
          <w:bCs/>
          <w:color w:val="000000"/>
          <w:sz w:val="28"/>
          <w:szCs w:val="28"/>
          <w:lang w:eastAsia="en-GB"/>
        </w:rPr>
        <w:t xml:space="preserve"> to </w:t>
      </w:r>
      <w:r w:rsidRPr="00315C8B">
        <w:rPr>
          <w:rFonts w:ascii="Tahoma" w:eastAsia="Tahoma" w:hAnsi="Tahoma" w:cs="Tahoma"/>
          <w:dstrike/>
          <w:color w:val="000000"/>
          <w:sz w:val="28"/>
          <w:szCs w:val="28"/>
        </w:rPr>
        <w:t>N</w:t>
      </w:r>
      <w:r>
        <w:rPr>
          <w:rFonts w:ascii="Tahoma" w:eastAsia="Times New Roman" w:hAnsi="Tahoma" w:cs="Tahoma"/>
          <w:bCs/>
          <w:color w:val="000000"/>
          <w:sz w:val="28"/>
          <w:szCs w:val="28"/>
          <w:lang w:eastAsia="en-GB"/>
        </w:rPr>
        <w:t xml:space="preserve">0.221 billion. </w:t>
      </w: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imes New Roman" w:hAnsi="Tahoma" w:cs="Tahoma"/>
          <w:bCs/>
          <w:color w:val="000000"/>
          <w:sz w:val="28"/>
          <w:szCs w:val="28"/>
          <w:lang w:eastAsia="en-GB"/>
        </w:rPr>
        <w:lastRenderedPageBreak/>
        <w:t>The Status of the new Capital Projects awarded between January and March 2019 were unknown to the Ministry of Economic Planning and Budget as at the time of preparing the 2019 First Quarter Budget Implementation Appraisal.</w:t>
      </w: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Default="00170EAC" w:rsidP="00170EAC">
      <w:pPr>
        <w:pStyle w:val="NoSpacing"/>
        <w:spacing w:line="480" w:lineRule="auto"/>
        <w:ind w:firstLine="720"/>
        <w:jc w:val="both"/>
        <w:rPr>
          <w:rFonts w:ascii="Tahoma" w:eastAsia="Times New Roman" w:hAnsi="Tahoma" w:cs="Tahoma"/>
          <w:bCs/>
          <w:color w:val="000000"/>
          <w:sz w:val="28"/>
          <w:szCs w:val="28"/>
          <w:lang w:eastAsia="en-GB"/>
        </w:rPr>
      </w:pPr>
    </w:p>
    <w:p w:rsidR="00170EAC" w:rsidRPr="007F41CF" w:rsidRDefault="00170EAC" w:rsidP="009A42D6">
      <w:pPr>
        <w:pStyle w:val="NoSpacing"/>
        <w:spacing w:line="360" w:lineRule="auto"/>
        <w:jc w:val="center"/>
        <w:rPr>
          <w:rFonts w:ascii="Tahoma" w:hAnsi="Tahoma" w:cs="Tahoma"/>
          <w:b/>
          <w:sz w:val="28"/>
          <w:szCs w:val="28"/>
        </w:rPr>
      </w:pPr>
      <w:r>
        <w:rPr>
          <w:rFonts w:ascii="Tahoma" w:hAnsi="Tahoma" w:cs="Tahoma"/>
          <w:b/>
          <w:sz w:val="28"/>
          <w:szCs w:val="28"/>
        </w:rPr>
        <w:lastRenderedPageBreak/>
        <w:t>CHAPTER FIVE</w:t>
      </w:r>
    </w:p>
    <w:p w:rsidR="00170EAC" w:rsidRDefault="00170EAC" w:rsidP="009A42D6">
      <w:pPr>
        <w:pStyle w:val="NoSpacing"/>
        <w:spacing w:line="360" w:lineRule="auto"/>
        <w:jc w:val="center"/>
        <w:rPr>
          <w:rFonts w:ascii="Tahoma" w:hAnsi="Tahoma" w:cs="Tahoma"/>
          <w:b/>
          <w:sz w:val="28"/>
          <w:szCs w:val="28"/>
        </w:rPr>
      </w:pPr>
      <w:r w:rsidRPr="007F41CF">
        <w:rPr>
          <w:rFonts w:ascii="Tahoma" w:hAnsi="Tahoma" w:cs="Tahoma"/>
          <w:b/>
          <w:sz w:val="28"/>
          <w:szCs w:val="28"/>
        </w:rPr>
        <w:t>OBSERVATION</w:t>
      </w:r>
      <w:r>
        <w:rPr>
          <w:rFonts w:ascii="Tahoma" w:hAnsi="Tahoma" w:cs="Tahoma"/>
          <w:b/>
          <w:sz w:val="28"/>
          <w:szCs w:val="28"/>
        </w:rPr>
        <w:t>S</w:t>
      </w:r>
      <w:r w:rsidRPr="007F41CF">
        <w:rPr>
          <w:rFonts w:ascii="Tahoma" w:hAnsi="Tahoma" w:cs="Tahoma"/>
          <w:b/>
          <w:sz w:val="28"/>
          <w:szCs w:val="28"/>
        </w:rPr>
        <w:t>, RECOMMENDATIONS AND CONCLUSION</w:t>
      </w:r>
    </w:p>
    <w:p w:rsidR="00170EAC" w:rsidRPr="00EC07EA" w:rsidRDefault="00170EAC" w:rsidP="009A42D6">
      <w:pPr>
        <w:spacing w:line="360" w:lineRule="auto"/>
        <w:rPr>
          <w:rFonts w:ascii="Tahoma" w:hAnsi="Tahoma" w:cs="Tahoma"/>
          <w:b/>
          <w:sz w:val="28"/>
          <w:szCs w:val="28"/>
        </w:rPr>
      </w:pPr>
      <w:r>
        <w:rPr>
          <w:rFonts w:ascii="Tahoma" w:hAnsi="Tahoma" w:cs="Tahoma"/>
          <w:b/>
          <w:sz w:val="28"/>
          <w:szCs w:val="28"/>
        </w:rPr>
        <w:t>5.1</w:t>
      </w:r>
      <w:r>
        <w:rPr>
          <w:rFonts w:ascii="Tahoma" w:hAnsi="Tahoma" w:cs="Tahoma"/>
          <w:b/>
          <w:sz w:val="28"/>
          <w:szCs w:val="28"/>
        </w:rPr>
        <w:tab/>
      </w:r>
      <w:r w:rsidRPr="00EC07EA">
        <w:rPr>
          <w:rFonts w:ascii="Tahoma" w:hAnsi="Tahoma" w:cs="Tahoma"/>
          <w:b/>
          <w:sz w:val="28"/>
          <w:szCs w:val="28"/>
        </w:rPr>
        <w:t>OBSERVATIONS</w:t>
      </w:r>
    </w:p>
    <w:p w:rsidR="00170EAC" w:rsidRPr="00E13EDF" w:rsidRDefault="00170EAC" w:rsidP="009A42D6">
      <w:pPr>
        <w:spacing w:after="0" w:line="360" w:lineRule="auto"/>
        <w:jc w:val="both"/>
        <w:rPr>
          <w:rFonts w:ascii="Tahoma" w:hAnsi="Tahoma" w:cs="Tahoma"/>
          <w:sz w:val="28"/>
          <w:szCs w:val="28"/>
        </w:rPr>
      </w:pPr>
      <w:r>
        <w:rPr>
          <w:rFonts w:ascii="Tahoma" w:hAnsi="Tahoma" w:cs="Tahoma"/>
          <w:sz w:val="28"/>
          <w:szCs w:val="28"/>
        </w:rPr>
        <w:t>The following are</w:t>
      </w:r>
      <w:r w:rsidRPr="00EC07EA">
        <w:rPr>
          <w:rFonts w:ascii="Tahoma" w:hAnsi="Tahoma" w:cs="Tahoma"/>
          <w:sz w:val="28"/>
          <w:szCs w:val="28"/>
        </w:rPr>
        <w:t xml:space="preserve"> the obs</w:t>
      </w:r>
      <w:r>
        <w:rPr>
          <w:rFonts w:ascii="Tahoma" w:hAnsi="Tahoma" w:cs="Tahoma"/>
          <w:sz w:val="28"/>
          <w:szCs w:val="28"/>
        </w:rPr>
        <w:t>ervations f</w:t>
      </w:r>
      <w:r w:rsidR="00542748">
        <w:rPr>
          <w:rFonts w:ascii="Tahoma" w:hAnsi="Tahoma" w:cs="Tahoma"/>
          <w:sz w:val="28"/>
          <w:szCs w:val="28"/>
        </w:rPr>
        <w:t>rom the First Quarter</w:t>
      </w:r>
      <w:r>
        <w:rPr>
          <w:rFonts w:ascii="Tahoma" w:hAnsi="Tahoma" w:cs="Tahoma"/>
          <w:sz w:val="28"/>
          <w:szCs w:val="28"/>
        </w:rPr>
        <w:t xml:space="preserve"> B</w:t>
      </w:r>
      <w:r w:rsidRPr="00EC07EA">
        <w:rPr>
          <w:rFonts w:ascii="Tahoma" w:hAnsi="Tahoma" w:cs="Tahoma"/>
          <w:sz w:val="28"/>
          <w:szCs w:val="28"/>
        </w:rPr>
        <w:t xml:space="preserve">udget </w:t>
      </w:r>
      <w:r>
        <w:rPr>
          <w:rFonts w:ascii="Tahoma" w:hAnsi="Tahoma" w:cs="Tahoma"/>
          <w:sz w:val="28"/>
          <w:szCs w:val="28"/>
        </w:rPr>
        <w:t>I</w:t>
      </w:r>
      <w:r w:rsidRPr="00EC07EA">
        <w:rPr>
          <w:rFonts w:ascii="Tahoma" w:hAnsi="Tahoma" w:cs="Tahoma"/>
          <w:sz w:val="28"/>
          <w:szCs w:val="28"/>
        </w:rPr>
        <w:t>mple</w:t>
      </w:r>
      <w:r>
        <w:rPr>
          <w:rFonts w:ascii="Tahoma" w:hAnsi="Tahoma" w:cs="Tahoma"/>
          <w:sz w:val="28"/>
          <w:szCs w:val="28"/>
        </w:rPr>
        <w:t>mentation A</w:t>
      </w:r>
      <w:r w:rsidRPr="00E13EDF">
        <w:rPr>
          <w:rFonts w:ascii="Tahoma" w:hAnsi="Tahoma" w:cs="Tahoma"/>
          <w:sz w:val="28"/>
          <w:szCs w:val="28"/>
        </w:rPr>
        <w:t>ppraisal:</w:t>
      </w:r>
      <w:r>
        <w:rPr>
          <w:rFonts w:ascii="Tahoma" w:hAnsi="Tahoma" w:cs="Tahoma"/>
          <w:sz w:val="28"/>
          <w:szCs w:val="28"/>
        </w:rPr>
        <w:t xml:space="preserve"> </w:t>
      </w:r>
    </w:p>
    <w:p w:rsidR="00170EAC" w:rsidRPr="000B1337" w:rsidRDefault="00170EAC" w:rsidP="009A42D6">
      <w:pPr>
        <w:pStyle w:val="NoSpacing"/>
        <w:numPr>
          <w:ilvl w:val="0"/>
          <w:numId w:val="4"/>
        </w:numPr>
        <w:spacing w:line="360" w:lineRule="auto"/>
        <w:jc w:val="both"/>
        <w:rPr>
          <w:rFonts w:ascii="Tahoma" w:hAnsi="Tahoma" w:cs="Tahoma"/>
          <w:sz w:val="28"/>
          <w:szCs w:val="28"/>
        </w:rPr>
      </w:pPr>
      <w:r>
        <w:rPr>
          <w:rFonts w:ascii="Tahoma" w:hAnsi="Tahoma" w:cs="Tahoma"/>
          <w:sz w:val="28"/>
          <w:szCs w:val="28"/>
        </w:rPr>
        <w:t xml:space="preserve">Overall </w:t>
      </w:r>
      <w:r w:rsidRPr="00E13EDF">
        <w:rPr>
          <w:rFonts w:ascii="Tahoma" w:hAnsi="Tahoma" w:cs="Tahoma"/>
          <w:sz w:val="28"/>
          <w:szCs w:val="28"/>
        </w:rPr>
        <w:t>Budget performa</w:t>
      </w:r>
      <w:r w:rsidR="00542748">
        <w:rPr>
          <w:rFonts w:ascii="Tahoma" w:hAnsi="Tahoma" w:cs="Tahoma"/>
          <w:sz w:val="28"/>
          <w:szCs w:val="28"/>
        </w:rPr>
        <w:t>nce was below average in the First Quarter</w:t>
      </w:r>
      <w:r>
        <w:rPr>
          <w:rFonts w:ascii="Tahoma" w:hAnsi="Tahoma" w:cs="Tahoma"/>
          <w:sz w:val="28"/>
          <w:szCs w:val="28"/>
        </w:rPr>
        <w:t>.</w:t>
      </w:r>
    </w:p>
    <w:p w:rsidR="00170EAC" w:rsidRDefault="00170EAC" w:rsidP="009A42D6">
      <w:pPr>
        <w:pStyle w:val="NoSpacing"/>
        <w:numPr>
          <w:ilvl w:val="0"/>
          <w:numId w:val="4"/>
        </w:numPr>
        <w:spacing w:line="360" w:lineRule="auto"/>
        <w:jc w:val="both"/>
        <w:rPr>
          <w:rFonts w:ascii="Tahoma" w:hAnsi="Tahoma" w:cs="Tahoma"/>
          <w:sz w:val="28"/>
          <w:szCs w:val="28"/>
        </w:rPr>
      </w:pPr>
      <w:r>
        <w:rPr>
          <w:rFonts w:ascii="Tahoma" w:hAnsi="Tahoma" w:cs="Tahoma"/>
          <w:sz w:val="28"/>
          <w:szCs w:val="28"/>
        </w:rPr>
        <w:t>The revenue side</w:t>
      </w:r>
      <w:r w:rsidR="00542748">
        <w:rPr>
          <w:rFonts w:ascii="Tahoma" w:hAnsi="Tahoma" w:cs="Tahoma"/>
          <w:sz w:val="28"/>
          <w:szCs w:val="28"/>
        </w:rPr>
        <w:t xml:space="preserve"> of the budget performed at 48.9% for the quarter.</w:t>
      </w:r>
    </w:p>
    <w:p w:rsidR="00542748" w:rsidRPr="00542748" w:rsidRDefault="00542748" w:rsidP="009A42D6">
      <w:pPr>
        <w:pStyle w:val="ListParagraph"/>
        <w:numPr>
          <w:ilvl w:val="0"/>
          <w:numId w:val="4"/>
        </w:numPr>
        <w:spacing w:after="0" w:line="360" w:lineRule="auto"/>
        <w:jc w:val="both"/>
        <w:rPr>
          <w:rFonts w:ascii="Tahoma" w:hAnsi="Tahoma" w:cs="Tahoma"/>
          <w:sz w:val="28"/>
          <w:szCs w:val="28"/>
        </w:rPr>
      </w:pPr>
      <w:r w:rsidRPr="00542748">
        <w:rPr>
          <w:rFonts w:ascii="Tahoma" w:hAnsi="Tahoma" w:cs="Tahoma"/>
          <w:sz w:val="28"/>
          <w:szCs w:val="28"/>
        </w:rPr>
        <w:t>Revenue from Federation Account decreased</w:t>
      </w:r>
      <w:r>
        <w:rPr>
          <w:rFonts w:ascii="Tahoma" w:hAnsi="Tahoma" w:cs="Tahoma"/>
          <w:sz w:val="28"/>
          <w:szCs w:val="28"/>
        </w:rPr>
        <w:t xml:space="preserve"> in 2019 first quarter when compared with the corresponding 2018 quarter </w:t>
      </w:r>
      <w:r w:rsidRPr="00542748">
        <w:rPr>
          <w:rFonts w:ascii="Tahoma" w:hAnsi="Tahoma" w:cs="Tahoma"/>
          <w:sz w:val="28"/>
          <w:szCs w:val="28"/>
        </w:rPr>
        <w:t>while IGR and Revenue from Other Sources increased in 2019 first quarter.</w:t>
      </w:r>
    </w:p>
    <w:p w:rsidR="00170EAC" w:rsidRDefault="00170EAC" w:rsidP="009A42D6">
      <w:pPr>
        <w:pStyle w:val="NoSpacing"/>
        <w:numPr>
          <w:ilvl w:val="0"/>
          <w:numId w:val="4"/>
        </w:numPr>
        <w:spacing w:after="240" w:line="360" w:lineRule="auto"/>
        <w:jc w:val="both"/>
        <w:rPr>
          <w:rFonts w:ascii="Tahoma" w:hAnsi="Tahoma" w:cs="Tahoma"/>
          <w:sz w:val="28"/>
          <w:szCs w:val="28"/>
        </w:rPr>
      </w:pPr>
      <w:r>
        <w:rPr>
          <w:rFonts w:ascii="Tahoma" w:hAnsi="Tahoma" w:cs="Tahoma"/>
          <w:sz w:val="28"/>
          <w:szCs w:val="28"/>
        </w:rPr>
        <w:t xml:space="preserve">Revenue receipts from the Federation Account was </w:t>
      </w:r>
      <w:r w:rsidRPr="001A493E">
        <w:rPr>
          <w:rFonts w:ascii="Tahoma" w:hAnsi="Tahoma" w:cs="Tahoma"/>
          <w:dstrike/>
          <w:sz w:val="28"/>
          <w:szCs w:val="28"/>
        </w:rPr>
        <w:t>N</w:t>
      </w:r>
      <w:r w:rsidR="00542748">
        <w:rPr>
          <w:rFonts w:ascii="Tahoma" w:hAnsi="Tahoma" w:cs="Tahoma"/>
          <w:sz w:val="28"/>
          <w:szCs w:val="28"/>
        </w:rPr>
        <w:t>16.151 billion, representing 67.8% of total revenue for the quarter</w:t>
      </w:r>
      <w:r>
        <w:rPr>
          <w:rFonts w:ascii="Tahoma" w:hAnsi="Tahoma" w:cs="Tahoma"/>
          <w:sz w:val="28"/>
          <w:szCs w:val="28"/>
        </w:rPr>
        <w:t>.</w:t>
      </w:r>
    </w:p>
    <w:p w:rsidR="0004604A" w:rsidRPr="00D455F1" w:rsidRDefault="0004604A" w:rsidP="009A42D6">
      <w:pPr>
        <w:numPr>
          <w:ilvl w:val="0"/>
          <w:numId w:val="4"/>
        </w:numPr>
        <w:spacing w:after="0" w:line="360" w:lineRule="auto"/>
        <w:jc w:val="both"/>
        <w:rPr>
          <w:rFonts w:ascii="Tahoma" w:hAnsi="Tahoma" w:cs="Tahoma"/>
          <w:sz w:val="28"/>
          <w:szCs w:val="28"/>
          <w:lang w:val="en-CA"/>
        </w:rPr>
      </w:pPr>
      <w:r w:rsidRPr="001106E2">
        <w:rPr>
          <w:rFonts w:ascii="Tahoma" w:hAnsi="Tahoma" w:cs="Tahoma"/>
          <w:sz w:val="28"/>
          <w:szCs w:val="28"/>
          <w:lang w:val="en-CA"/>
        </w:rPr>
        <w:t>Internally Generated Revenue</w:t>
      </w:r>
      <w:r>
        <w:rPr>
          <w:rFonts w:ascii="Tahoma" w:hAnsi="Tahoma" w:cs="Tahoma"/>
          <w:sz w:val="28"/>
          <w:szCs w:val="28"/>
          <w:lang w:val="en-CA"/>
        </w:rPr>
        <w:t xml:space="preserve"> inclusive of</w:t>
      </w:r>
      <w:r w:rsidRPr="00D455F1">
        <w:rPr>
          <w:rFonts w:ascii="Tahoma" w:hAnsi="Tahoma" w:cs="Tahoma"/>
          <w:sz w:val="28"/>
          <w:szCs w:val="28"/>
          <w:lang w:val="en-CA"/>
        </w:rPr>
        <w:t xml:space="preserve"> </w:t>
      </w:r>
      <w:r>
        <w:rPr>
          <w:rFonts w:ascii="Tahoma" w:hAnsi="Tahoma" w:cs="Tahoma"/>
          <w:sz w:val="28"/>
          <w:szCs w:val="28"/>
          <w:lang w:val="en-CA"/>
        </w:rPr>
        <w:t xml:space="preserve">amount generated </w:t>
      </w:r>
      <w:r w:rsidRPr="00D455F1">
        <w:rPr>
          <w:rFonts w:ascii="Tahoma" w:hAnsi="Tahoma" w:cs="Tahoma"/>
          <w:sz w:val="28"/>
          <w:szCs w:val="28"/>
          <w:lang w:val="en-CA"/>
        </w:rPr>
        <w:t>by the Revenue Retaining Agencies (RRA)</w:t>
      </w:r>
      <w:r w:rsidRPr="001106E2">
        <w:rPr>
          <w:rFonts w:ascii="Tahoma" w:hAnsi="Tahoma" w:cs="Tahoma"/>
          <w:sz w:val="28"/>
          <w:szCs w:val="28"/>
          <w:lang w:val="en-CA"/>
        </w:rPr>
        <w:t xml:space="preserve"> performed at </w:t>
      </w:r>
      <w:r>
        <w:rPr>
          <w:rFonts w:ascii="Tahoma" w:hAnsi="Tahoma" w:cs="Tahoma"/>
          <w:sz w:val="28"/>
          <w:szCs w:val="28"/>
          <w:lang w:val="en-CA"/>
        </w:rPr>
        <w:t>82.8</w:t>
      </w:r>
      <w:r w:rsidRPr="001106E2">
        <w:rPr>
          <w:rFonts w:ascii="Tahoma" w:hAnsi="Tahoma" w:cs="Tahoma"/>
          <w:sz w:val="28"/>
          <w:szCs w:val="28"/>
          <w:lang w:val="en-CA"/>
        </w:rPr>
        <w:t>%</w:t>
      </w:r>
      <w:r w:rsidRPr="00D455F1">
        <w:rPr>
          <w:rFonts w:ascii="Tahoma" w:hAnsi="Tahoma" w:cs="Tahoma"/>
          <w:sz w:val="28"/>
          <w:szCs w:val="28"/>
          <w:lang w:val="en-CA"/>
        </w:rPr>
        <w:t>. Less the RRA, the performance was</w:t>
      </w:r>
      <w:r>
        <w:rPr>
          <w:rFonts w:ascii="Tahoma" w:hAnsi="Tahoma" w:cs="Tahoma"/>
          <w:sz w:val="28"/>
          <w:szCs w:val="28"/>
          <w:lang w:val="en-CA"/>
        </w:rPr>
        <w:t xml:space="preserve"> 54.7</w:t>
      </w:r>
      <w:r w:rsidRPr="00D455F1">
        <w:rPr>
          <w:rFonts w:ascii="Tahoma" w:hAnsi="Tahoma" w:cs="Tahoma"/>
          <w:sz w:val="28"/>
          <w:szCs w:val="28"/>
          <w:lang w:val="en-CA"/>
        </w:rPr>
        <w:t>%</w:t>
      </w:r>
    </w:p>
    <w:p w:rsidR="00170EAC" w:rsidRDefault="00170EAC" w:rsidP="009A42D6">
      <w:pPr>
        <w:pStyle w:val="NoSpacing"/>
        <w:numPr>
          <w:ilvl w:val="0"/>
          <w:numId w:val="4"/>
        </w:numPr>
        <w:spacing w:line="360" w:lineRule="auto"/>
        <w:jc w:val="both"/>
        <w:rPr>
          <w:rFonts w:ascii="Tahoma" w:hAnsi="Tahoma" w:cs="Tahoma"/>
          <w:sz w:val="28"/>
          <w:szCs w:val="28"/>
        </w:rPr>
      </w:pPr>
      <w:r>
        <w:rPr>
          <w:rFonts w:ascii="Tahoma" w:hAnsi="Tahoma" w:cs="Tahoma"/>
          <w:sz w:val="28"/>
          <w:szCs w:val="28"/>
        </w:rPr>
        <w:t>The share of Internally Generated Revenu</w:t>
      </w:r>
      <w:r w:rsidR="0004604A">
        <w:rPr>
          <w:rFonts w:ascii="Tahoma" w:hAnsi="Tahoma" w:cs="Tahoma"/>
          <w:sz w:val="28"/>
          <w:szCs w:val="28"/>
        </w:rPr>
        <w:t>e to total actual revenue was 15</w:t>
      </w:r>
      <w:r>
        <w:rPr>
          <w:rFonts w:ascii="Tahoma" w:hAnsi="Tahoma" w:cs="Tahoma"/>
          <w:sz w:val="28"/>
          <w:szCs w:val="28"/>
        </w:rPr>
        <w:t>%</w:t>
      </w:r>
      <w:r w:rsidR="0004604A">
        <w:rPr>
          <w:rFonts w:ascii="Tahoma" w:hAnsi="Tahoma" w:cs="Tahoma"/>
          <w:sz w:val="28"/>
          <w:szCs w:val="28"/>
        </w:rPr>
        <w:t xml:space="preserve"> for the quarter</w:t>
      </w:r>
      <w:r>
        <w:rPr>
          <w:rFonts w:ascii="Tahoma" w:hAnsi="Tahoma" w:cs="Tahoma"/>
          <w:sz w:val="28"/>
          <w:szCs w:val="28"/>
        </w:rPr>
        <w:t>.</w:t>
      </w:r>
    </w:p>
    <w:p w:rsidR="0004604A" w:rsidRDefault="0004604A" w:rsidP="009A42D6">
      <w:pPr>
        <w:pStyle w:val="ListParagraph"/>
        <w:numPr>
          <w:ilvl w:val="0"/>
          <w:numId w:val="4"/>
        </w:numPr>
        <w:spacing w:after="0" w:line="360" w:lineRule="auto"/>
        <w:jc w:val="both"/>
        <w:rPr>
          <w:rFonts w:ascii="Tahoma" w:hAnsi="Tahoma" w:cs="Tahoma"/>
          <w:sz w:val="28"/>
          <w:szCs w:val="28"/>
        </w:rPr>
      </w:pPr>
      <w:r>
        <w:rPr>
          <w:rFonts w:ascii="Tahoma" w:hAnsi="Tahoma" w:cs="Tahoma"/>
          <w:sz w:val="28"/>
          <w:szCs w:val="28"/>
        </w:rPr>
        <w:t>Internally Generated Revenue performances on MEDAs basis shows that Five (5) MEDAs performed above 100%, Six (6) MEDAs perfor</w:t>
      </w:r>
      <w:r w:rsidR="00FA7655">
        <w:rPr>
          <w:rFonts w:ascii="Tahoma" w:hAnsi="Tahoma" w:cs="Tahoma"/>
          <w:sz w:val="28"/>
          <w:szCs w:val="28"/>
        </w:rPr>
        <w:t>med between 70% and 99%, Three (3</w:t>
      </w:r>
      <w:r>
        <w:rPr>
          <w:rFonts w:ascii="Tahoma" w:hAnsi="Tahoma" w:cs="Tahoma"/>
          <w:sz w:val="28"/>
          <w:szCs w:val="28"/>
        </w:rPr>
        <w:t>) MEDAs performed between 5</w:t>
      </w:r>
      <w:r w:rsidR="000F2CBF">
        <w:rPr>
          <w:rFonts w:ascii="Tahoma" w:hAnsi="Tahoma" w:cs="Tahoma"/>
          <w:sz w:val="28"/>
          <w:szCs w:val="28"/>
        </w:rPr>
        <w:t>0% and 69% while Forty-Three (43</w:t>
      </w:r>
      <w:r>
        <w:rPr>
          <w:rFonts w:ascii="Tahoma" w:hAnsi="Tahoma" w:cs="Tahoma"/>
          <w:sz w:val="28"/>
          <w:szCs w:val="28"/>
        </w:rPr>
        <w:t>) MEDAs performed below 50%.</w:t>
      </w:r>
    </w:p>
    <w:p w:rsidR="00170EAC" w:rsidRDefault="00170EAC" w:rsidP="009A42D6">
      <w:pPr>
        <w:pStyle w:val="NoSpacing"/>
        <w:numPr>
          <w:ilvl w:val="0"/>
          <w:numId w:val="4"/>
        </w:numPr>
        <w:spacing w:line="360" w:lineRule="auto"/>
        <w:jc w:val="both"/>
        <w:rPr>
          <w:rFonts w:ascii="Tahoma" w:hAnsi="Tahoma" w:cs="Tahoma"/>
          <w:sz w:val="28"/>
          <w:szCs w:val="28"/>
        </w:rPr>
      </w:pPr>
      <w:r w:rsidRPr="00D11F9C">
        <w:rPr>
          <w:rFonts w:ascii="Tahoma" w:hAnsi="Tahoma" w:cs="Tahoma"/>
          <w:sz w:val="28"/>
          <w:szCs w:val="28"/>
        </w:rPr>
        <w:t>The expenditure side of the b</w:t>
      </w:r>
      <w:r>
        <w:rPr>
          <w:rFonts w:ascii="Tahoma" w:hAnsi="Tahoma" w:cs="Tahoma"/>
          <w:sz w:val="28"/>
          <w:szCs w:val="28"/>
        </w:rPr>
        <w:t xml:space="preserve">udget performed </w:t>
      </w:r>
      <w:r w:rsidRPr="00D11F9C">
        <w:rPr>
          <w:rFonts w:ascii="Tahoma" w:hAnsi="Tahoma" w:cs="Tahoma"/>
          <w:sz w:val="28"/>
          <w:szCs w:val="28"/>
        </w:rPr>
        <w:t xml:space="preserve">at </w:t>
      </w:r>
      <w:r w:rsidR="003A3415">
        <w:rPr>
          <w:rFonts w:ascii="Tahoma" w:hAnsi="Tahoma" w:cs="Tahoma"/>
          <w:sz w:val="28"/>
          <w:szCs w:val="28"/>
        </w:rPr>
        <w:t>4</w:t>
      </w:r>
      <w:r>
        <w:rPr>
          <w:rFonts w:ascii="Tahoma" w:hAnsi="Tahoma" w:cs="Tahoma"/>
          <w:sz w:val="28"/>
          <w:szCs w:val="28"/>
        </w:rPr>
        <w:t>8.9</w:t>
      </w:r>
      <w:r w:rsidR="003A3415">
        <w:rPr>
          <w:rFonts w:ascii="Tahoma" w:hAnsi="Tahoma" w:cs="Tahoma"/>
          <w:sz w:val="28"/>
          <w:szCs w:val="28"/>
        </w:rPr>
        <w:t>% in the</w:t>
      </w:r>
      <w:r w:rsidRPr="00D11F9C">
        <w:rPr>
          <w:rFonts w:ascii="Tahoma" w:hAnsi="Tahoma" w:cs="Tahoma"/>
          <w:sz w:val="28"/>
          <w:szCs w:val="28"/>
        </w:rPr>
        <w:t xml:space="preserve"> quarter</w:t>
      </w:r>
      <w:r w:rsidR="003A3415">
        <w:rPr>
          <w:rFonts w:ascii="Tahoma" w:hAnsi="Tahoma" w:cs="Tahoma"/>
          <w:sz w:val="28"/>
          <w:szCs w:val="28"/>
        </w:rPr>
        <w:t>.</w:t>
      </w:r>
    </w:p>
    <w:p w:rsidR="008777EC" w:rsidRDefault="008777EC" w:rsidP="009A42D6">
      <w:pPr>
        <w:pStyle w:val="NoSpacing"/>
        <w:numPr>
          <w:ilvl w:val="0"/>
          <w:numId w:val="4"/>
        </w:numPr>
        <w:spacing w:line="360" w:lineRule="auto"/>
        <w:jc w:val="both"/>
        <w:rPr>
          <w:rFonts w:ascii="Tahoma" w:hAnsi="Tahoma" w:cs="Tahoma"/>
          <w:sz w:val="28"/>
          <w:szCs w:val="28"/>
        </w:rPr>
      </w:pPr>
      <w:r>
        <w:rPr>
          <w:rFonts w:ascii="Tahoma" w:hAnsi="Tahoma" w:cs="Tahoma"/>
          <w:sz w:val="28"/>
          <w:szCs w:val="28"/>
        </w:rPr>
        <w:t xml:space="preserve">Capital expenditure was </w:t>
      </w:r>
      <w:r w:rsidRPr="00DF613C">
        <w:rPr>
          <w:rFonts w:ascii="Tahoma" w:hAnsi="Tahoma" w:cs="Tahoma"/>
          <w:dstrike/>
          <w:sz w:val="28"/>
          <w:szCs w:val="28"/>
        </w:rPr>
        <w:t>N</w:t>
      </w:r>
      <w:r>
        <w:rPr>
          <w:rFonts w:ascii="Tahoma" w:hAnsi="Tahoma" w:cs="Tahoma"/>
          <w:sz w:val="28"/>
          <w:szCs w:val="28"/>
        </w:rPr>
        <w:t>3.320</w:t>
      </w:r>
      <w:r w:rsidRPr="00721306">
        <w:rPr>
          <w:rFonts w:ascii="Tahoma" w:hAnsi="Tahoma" w:cs="Tahoma"/>
          <w:sz w:val="28"/>
          <w:szCs w:val="28"/>
        </w:rPr>
        <w:t xml:space="preserve"> billion</w:t>
      </w:r>
      <w:r>
        <w:rPr>
          <w:rFonts w:ascii="Tahoma" w:hAnsi="Tahoma" w:cs="Tahoma"/>
          <w:sz w:val="28"/>
          <w:szCs w:val="28"/>
        </w:rPr>
        <w:t xml:space="preserve"> against the quarter estimates of </w:t>
      </w:r>
      <w:r w:rsidRPr="00DF613C">
        <w:rPr>
          <w:rFonts w:ascii="Tahoma" w:hAnsi="Tahoma" w:cs="Tahoma"/>
          <w:dstrike/>
          <w:sz w:val="28"/>
          <w:szCs w:val="28"/>
        </w:rPr>
        <w:t>N</w:t>
      </w:r>
      <w:r>
        <w:rPr>
          <w:rFonts w:ascii="Tahoma" w:hAnsi="Tahoma" w:cs="Tahoma"/>
          <w:sz w:val="28"/>
          <w:szCs w:val="28"/>
        </w:rPr>
        <w:t>22.528 billion, performing at 14.7%.</w:t>
      </w:r>
    </w:p>
    <w:p w:rsidR="00170EAC" w:rsidRPr="00976BC7" w:rsidRDefault="00170EAC" w:rsidP="009A42D6">
      <w:pPr>
        <w:pStyle w:val="NoSpacing"/>
        <w:numPr>
          <w:ilvl w:val="0"/>
          <w:numId w:val="4"/>
        </w:numPr>
        <w:spacing w:line="360" w:lineRule="auto"/>
        <w:jc w:val="both"/>
        <w:rPr>
          <w:rFonts w:ascii="Tahoma" w:hAnsi="Tahoma" w:cs="Tahoma"/>
          <w:sz w:val="28"/>
          <w:szCs w:val="28"/>
        </w:rPr>
      </w:pPr>
      <w:r>
        <w:rPr>
          <w:rFonts w:ascii="Tahoma" w:hAnsi="Tahoma" w:cs="Tahoma"/>
          <w:sz w:val="28"/>
          <w:szCs w:val="28"/>
        </w:rPr>
        <w:lastRenderedPageBreak/>
        <w:t xml:space="preserve">Recurrent Expenditure recorded a total of </w:t>
      </w:r>
      <w:r w:rsidRPr="001A493E">
        <w:rPr>
          <w:rFonts w:ascii="Tahoma" w:hAnsi="Tahoma" w:cs="Tahoma"/>
          <w:dstrike/>
          <w:sz w:val="28"/>
          <w:szCs w:val="28"/>
        </w:rPr>
        <w:t>N</w:t>
      </w:r>
      <w:r w:rsidR="008777EC">
        <w:rPr>
          <w:rFonts w:ascii="Tahoma" w:hAnsi="Tahoma" w:cs="Tahoma"/>
          <w:sz w:val="28"/>
          <w:szCs w:val="28"/>
        </w:rPr>
        <w:t>17</w:t>
      </w:r>
      <w:r>
        <w:rPr>
          <w:rFonts w:ascii="Tahoma" w:hAnsi="Tahoma" w:cs="Tahoma"/>
          <w:sz w:val="28"/>
          <w:szCs w:val="28"/>
        </w:rPr>
        <w:t>.</w:t>
      </w:r>
      <w:r w:rsidR="008777EC">
        <w:rPr>
          <w:rFonts w:ascii="Tahoma" w:hAnsi="Tahoma" w:cs="Tahoma"/>
          <w:sz w:val="28"/>
          <w:szCs w:val="28"/>
        </w:rPr>
        <w:t>537 billion, with 83.7% performance level for the quarter</w:t>
      </w:r>
      <w:r>
        <w:rPr>
          <w:rFonts w:ascii="Tahoma" w:hAnsi="Tahoma" w:cs="Tahoma"/>
          <w:sz w:val="28"/>
          <w:szCs w:val="28"/>
        </w:rPr>
        <w:t>.</w:t>
      </w:r>
      <w:r w:rsidRPr="00976BC7">
        <w:rPr>
          <w:rFonts w:ascii="Tahoma" w:hAnsi="Tahoma" w:cs="Tahoma"/>
          <w:sz w:val="28"/>
          <w:szCs w:val="28"/>
        </w:rPr>
        <w:t xml:space="preserve"> </w:t>
      </w:r>
    </w:p>
    <w:p w:rsidR="00170EAC" w:rsidRPr="006E6580" w:rsidRDefault="00170EAC" w:rsidP="009A42D6">
      <w:pPr>
        <w:pStyle w:val="NoSpacing"/>
        <w:numPr>
          <w:ilvl w:val="0"/>
          <w:numId w:val="4"/>
        </w:numPr>
        <w:spacing w:line="360" w:lineRule="auto"/>
        <w:jc w:val="both"/>
        <w:rPr>
          <w:rFonts w:ascii="Tahoma" w:hAnsi="Tahoma" w:cs="Tahoma"/>
          <w:sz w:val="28"/>
          <w:szCs w:val="28"/>
        </w:rPr>
      </w:pPr>
      <w:r>
        <w:rPr>
          <w:rFonts w:ascii="Tahoma" w:hAnsi="Tahoma" w:cs="Tahoma"/>
          <w:sz w:val="28"/>
          <w:szCs w:val="28"/>
        </w:rPr>
        <w:t xml:space="preserve">The total </w:t>
      </w:r>
      <w:r w:rsidR="008777EC">
        <w:rPr>
          <w:rFonts w:ascii="Tahoma" w:hAnsi="Tahoma" w:cs="Tahoma"/>
          <w:sz w:val="28"/>
          <w:szCs w:val="28"/>
        </w:rPr>
        <w:t>debt repayment made for the quarter</w:t>
      </w:r>
      <w:r>
        <w:rPr>
          <w:rFonts w:ascii="Tahoma" w:hAnsi="Tahoma" w:cs="Tahoma"/>
          <w:sz w:val="28"/>
          <w:szCs w:val="28"/>
        </w:rPr>
        <w:t xml:space="preserve"> was </w:t>
      </w:r>
      <w:r w:rsidRPr="001A493E">
        <w:rPr>
          <w:rFonts w:ascii="Tahoma" w:hAnsi="Tahoma" w:cs="Tahoma"/>
          <w:dstrike/>
          <w:sz w:val="28"/>
          <w:szCs w:val="28"/>
        </w:rPr>
        <w:t>N</w:t>
      </w:r>
      <w:r w:rsidR="008777EC">
        <w:rPr>
          <w:rFonts w:ascii="Tahoma" w:hAnsi="Tahoma" w:cs="Tahoma"/>
          <w:sz w:val="28"/>
          <w:szCs w:val="28"/>
        </w:rPr>
        <w:t>1.910 billion, representing 7</w:t>
      </w:r>
      <w:r>
        <w:rPr>
          <w:rFonts w:ascii="Tahoma" w:hAnsi="Tahoma" w:cs="Tahoma"/>
          <w:sz w:val="28"/>
          <w:szCs w:val="28"/>
        </w:rPr>
        <w:t>3</w:t>
      </w:r>
      <w:r w:rsidR="008777EC">
        <w:rPr>
          <w:rFonts w:ascii="Tahoma" w:hAnsi="Tahoma" w:cs="Tahoma"/>
          <w:sz w:val="28"/>
          <w:szCs w:val="28"/>
        </w:rPr>
        <w:t>.7</w:t>
      </w:r>
      <w:r>
        <w:rPr>
          <w:rFonts w:ascii="Tahoma" w:hAnsi="Tahoma" w:cs="Tahoma"/>
          <w:sz w:val="28"/>
          <w:szCs w:val="28"/>
        </w:rPr>
        <w:t>% performance level.</w:t>
      </w:r>
    </w:p>
    <w:p w:rsidR="00170EAC" w:rsidRDefault="00170EAC" w:rsidP="009A42D6">
      <w:pPr>
        <w:pStyle w:val="NoSpacing"/>
        <w:numPr>
          <w:ilvl w:val="0"/>
          <w:numId w:val="4"/>
        </w:numPr>
        <w:spacing w:line="360" w:lineRule="auto"/>
        <w:jc w:val="both"/>
        <w:rPr>
          <w:rFonts w:ascii="Tahoma" w:hAnsi="Tahoma" w:cs="Tahoma"/>
          <w:sz w:val="28"/>
          <w:szCs w:val="28"/>
        </w:rPr>
      </w:pPr>
      <w:r>
        <w:rPr>
          <w:rFonts w:ascii="Tahoma" w:hAnsi="Tahoma" w:cs="Tahoma"/>
          <w:sz w:val="28"/>
          <w:szCs w:val="28"/>
        </w:rPr>
        <w:t>R</w:t>
      </w:r>
      <w:r w:rsidRPr="00E13EDF">
        <w:rPr>
          <w:rFonts w:ascii="Tahoma" w:hAnsi="Tahoma" w:cs="Tahoma"/>
          <w:sz w:val="28"/>
          <w:szCs w:val="28"/>
        </w:rPr>
        <w:t>ecurrent expenditure</w:t>
      </w:r>
      <w:r>
        <w:rPr>
          <w:rFonts w:ascii="Tahoma" w:hAnsi="Tahoma" w:cs="Tahoma"/>
          <w:sz w:val="28"/>
          <w:szCs w:val="28"/>
        </w:rPr>
        <w:t>s</w:t>
      </w:r>
      <w:r w:rsidRPr="00E13EDF">
        <w:rPr>
          <w:rFonts w:ascii="Tahoma" w:hAnsi="Tahoma" w:cs="Tahoma"/>
          <w:sz w:val="28"/>
          <w:szCs w:val="28"/>
        </w:rPr>
        <w:t xml:space="preserve"> accou</w:t>
      </w:r>
      <w:r w:rsidR="008777EC">
        <w:rPr>
          <w:rFonts w:ascii="Tahoma" w:hAnsi="Tahoma" w:cs="Tahoma"/>
          <w:sz w:val="28"/>
          <w:szCs w:val="28"/>
        </w:rPr>
        <w:t>nted for 7</w:t>
      </w:r>
      <w:r>
        <w:rPr>
          <w:rFonts w:ascii="Tahoma" w:hAnsi="Tahoma" w:cs="Tahoma"/>
          <w:sz w:val="28"/>
          <w:szCs w:val="28"/>
        </w:rPr>
        <w:t>4% of the total actual expenditures for</w:t>
      </w:r>
      <w:r w:rsidR="008777EC">
        <w:rPr>
          <w:rFonts w:ascii="Tahoma" w:hAnsi="Tahoma" w:cs="Tahoma"/>
          <w:sz w:val="28"/>
          <w:szCs w:val="28"/>
        </w:rPr>
        <w:t xml:space="preserve"> the full year, debt repayment 8%, Statutory transfers 4</w:t>
      </w:r>
      <w:r>
        <w:rPr>
          <w:rFonts w:ascii="Tahoma" w:hAnsi="Tahoma" w:cs="Tahoma"/>
          <w:sz w:val="28"/>
          <w:szCs w:val="28"/>
        </w:rPr>
        <w:t xml:space="preserve">% and </w:t>
      </w:r>
      <w:r w:rsidRPr="00E13EDF">
        <w:rPr>
          <w:rFonts w:ascii="Tahoma" w:hAnsi="Tahoma" w:cs="Tahoma"/>
          <w:sz w:val="28"/>
          <w:szCs w:val="28"/>
        </w:rPr>
        <w:t>capital expenditu</w:t>
      </w:r>
      <w:r>
        <w:rPr>
          <w:rFonts w:ascii="Tahoma" w:hAnsi="Tahoma" w:cs="Tahoma"/>
          <w:sz w:val="28"/>
          <w:szCs w:val="28"/>
        </w:rPr>
        <w:t>r</w:t>
      </w:r>
      <w:r w:rsidR="008777EC">
        <w:rPr>
          <w:rFonts w:ascii="Tahoma" w:hAnsi="Tahoma" w:cs="Tahoma"/>
          <w:sz w:val="28"/>
          <w:szCs w:val="28"/>
        </w:rPr>
        <w:t>e 1</w:t>
      </w:r>
      <w:r>
        <w:rPr>
          <w:rFonts w:ascii="Tahoma" w:hAnsi="Tahoma" w:cs="Tahoma"/>
          <w:sz w:val="28"/>
          <w:szCs w:val="28"/>
        </w:rPr>
        <w:t>4%.</w:t>
      </w:r>
    </w:p>
    <w:p w:rsidR="008777EC" w:rsidRPr="00EF0117" w:rsidRDefault="008777EC" w:rsidP="009A42D6">
      <w:pPr>
        <w:pStyle w:val="NoSpacing"/>
        <w:numPr>
          <w:ilvl w:val="0"/>
          <w:numId w:val="4"/>
        </w:numPr>
        <w:spacing w:line="360" w:lineRule="auto"/>
        <w:jc w:val="both"/>
        <w:rPr>
          <w:rFonts w:ascii="Tahoma" w:hAnsi="Tahoma" w:cs="Tahoma"/>
          <w:sz w:val="28"/>
          <w:szCs w:val="28"/>
        </w:rPr>
      </w:pPr>
      <w:r>
        <w:rPr>
          <w:rFonts w:ascii="Tahoma" w:eastAsia="Tahoma" w:hAnsi="Tahoma" w:cs="Tahoma"/>
          <w:color w:val="000000"/>
          <w:sz w:val="28"/>
          <w:szCs w:val="28"/>
        </w:rPr>
        <w:t>Nine (9) new contracts were awarded through the State Tender’s Board (STB) between January and March, amount</w:t>
      </w:r>
      <w:r w:rsidRPr="00934B01">
        <w:rPr>
          <w:rFonts w:ascii="Tahoma" w:eastAsia="Tahoma" w:hAnsi="Tahoma" w:cs="Tahoma"/>
          <w:color w:val="000000"/>
          <w:sz w:val="28"/>
          <w:szCs w:val="28"/>
        </w:rPr>
        <w:t xml:space="preserve">ing to </w:t>
      </w:r>
      <w:r w:rsidRPr="00315C8B">
        <w:rPr>
          <w:rFonts w:ascii="Tahoma" w:eastAsia="Tahoma" w:hAnsi="Tahoma" w:cs="Tahoma"/>
          <w:dstrike/>
          <w:color w:val="000000"/>
          <w:sz w:val="28"/>
          <w:szCs w:val="28"/>
        </w:rPr>
        <w:t>N</w:t>
      </w:r>
      <w:r>
        <w:rPr>
          <w:rFonts w:ascii="Tahoma" w:eastAsia="Tahoma" w:hAnsi="Tahoma" w:cs="Tahoma"/>
          <w:color w:val="000000"/>
          <w:sz w:val="28"/>
          <w:szCs w:val="28"/>
        </w:rPr>
        <w:t xml:space="preserve">42.254 </w:t>
      </w:r>
      <w:r w:rsidRPr="00934B01">
        <w:rPr>
          <w:rFonts w:ascii="Tahoma" w:eastAsia="Tahoma" w:hAnsi="Tahoma" w:cs="Tahoma"/>
          <w:color w:val="000000"/>
          <w:sz w:val="28"/>
          <w:szCs w:val="28"/>
        </w:rPr>
        <w:t>billion</w:t>
      </w:r>
      <w:r>
        <w:rPr>
          <w:rFonts w:ascii="Tahoma" w:eastAsia="Tahoma" w:hAnsi="Tahoma" w:cs="Tahoma"/>
          <w:color w:val="000000"/>
          <w:sz w:val="28"/>
          <w:szCs w:val="28"/>
        </w:rPr>
        <w:t>.</w:t>
      </w:r>
    </w:p>
    <w:p w:rsidR="00170EAC" w:rsidRDefault="00170EAC" w:rsidP="009A42D6">
      <w:pPr>
        <w:pStyle w:val="NoSpacing"/>
        <w:numPr>
          <w:ilvl w:val="0"/>
          <w:numId w:val="4"/>
        </w:numPr>
        <w:spacing w:line="360" w:lineRule="auto"/>
        <w:jc w:val="both"/>
        <w:rPr>
          <w:rFonts w:ascii="Tahoma" w:hAnsi="Tahoma" w:cs="Tahoma"/>
          <w:sz w:val="28"/>
          <w:szCs w:val="28"/>
        </w:rPr>
      </w:pPr>
      <w:r w:rsidRPr="00A9042C">
        <w:rPr>
          <w:rFonts w:ascii="Tahoma" w:hAnsi="Tahoma" w:cs="Tahoma"/>
          <w:sz w:val="28"/>
          <w:szCs w:val="28"/>
        </w:rPr>
        <w:t>Late submission of returns by</w:t>
      </w:r>
      <w:r>
        <w:rPr>
          <w:rFonts w:ascii="Tahoma" w:hAnsi="Tahoma" w:cs="Tahoma"/>
          <w:sz w:val="28"/>
          <w:szCs w:val="28"/>
        </w:rPr>
        <w:t xml:space="preserve"> MEDAs is still a challenge </w:t>
      </w:r>
      <w:r w:rsidRPr="00A9042C">
        <w:rPr>
          <w:rFonts w:ascii="Tahoma" w:hAnsi="Tahoma" w:cs="Tahoma"/>
          <w:sz w:val="28"/>
          <w:szCs w:val="28"/>
        </w:rPr>
        <w:t>causing delay in the timely preparation of the B</w:t>
      </w:r>
      <w:r>
        <w:rPr>
          <w:rFonts w:ascii="Tahoma" w:hAnsi="Tahoma" w:cs="Tahoma"/>
          <w:sz w:val="28"/>
          <w:szCs w:val="28"/>
        </w:rPr>
        <w:t>udget Implementation Appraisal.</w:t>
      </w:r>
    </w:p>
    <w:p w:rsidR="009A42D6" w:rsidRDefault="009A42D6" w:rsidP="009A42D6">
      <w:pPr>
        <w:pStyle w:val="NoSpacing"/>
        <w:spacing w:line="360" w:lineRule="auto"/>
        <w:ind w:left="720"/>
        <w:jc w:val="both"/>
        <w:rPr>
          <w:rFonts w:ascii="Tahoma" w:hAnsi="Tahoma" w:cs="Tahoma"/>
          <w:sz w:val="28"/>
          <w:szCs w:val="28"/>
        </w:rPr>
      </w:pPr>
    </w:p>
    <w:p w:rsidR="00170EAC" w:rsidRPr="007F41CF" w:rsidRDefault="00170EAC" w:rsidP="009A42D6">
      <w:pPr>
        <w:pStyle w:val="NoSpacing"/>
        <w:spacing w:line="360" w:lineRule="auto"/>
        <w:jc w:val="both"/>
        <w:rPr>
          <w:rFonts w:ascii="Tahoma" w:hAnsi="Tahoma" w:cs="Tahoma"/>
          <w:b/>
          <w:sz w:val="28"/>
          <w:szCs w:val="28"/>
        </w:rPr>
      </w:pPr>
      <w:r>
        <w:rPr>
          <w:rFonts w:ascii="Tahoma" w:hAnsi="Tahoma" w:cs="Tahoma"/>
          <w:b/>
          <w:sz w:val="28"/>
          <w:szCs w:val="28"/>
        </w:rPr>
        <w:t>5.2</w:t>
      </w:r>
      <w:r>
        <w:rPr>
          <w:rFonts w:ascii="Tahoma" w:hAnsi="Tahoma" w:cs="Tahoma"/>
          <w:b/>
          <w:sz w:val="28"/>
          <w:szCs w:val="28"/>
        </w:rPr>
        <w:tab/>
      </w:r>
      <w:r w:rsidRPr="007F41CF">
        <w:rPr>
          <w:rFonts w:ascii="Tahoma" w:hAnsi="Tahoma" w:cs="Tahoma"/>
          <w:b/>
          <w:sz w:val="28"/>
          <w:szCs w:val="28"/>
        </w:rPr>
        <w:t>RECOMMENDATIONS</w:t>
      </w:r>
    </w:p>
    <w:p w:rsidR="00A81BEF" w:rsidRPr="00C44D07" w:rsidRDefault="00A81BEF" w:rsidP="009A42D6">
      <w:pPr>
        <w:pStyle w:val="NoSpacing"/>
        <w:numPr>
          <w:ilvl w:val="0"/>
          <w:numId w:val="5"/>
        </w:numPr>
        <w:spacing w:line="360" w:lineRule="auto"/>
        <w:jc w:val="both"/>
        <w:rPr>
          <w:rFonts w:ascii="Tahoma" w:hAnsi="Tahoma" w:cs="Tahoma"/>
          <w:sz w:val="28"/>
          <w:szCs w:val="28"/>
        </w:rPr>
      </w:pPr>
      <w:r>
        <w:rPr>
          <w:rFonts w:ascii="Tahoma" w:hAnsi="Tahoma" w:cs="Tahoma"/>
          <w:sz w:val="28"/>
          <w:szCs w:val="28"/>
        </w:rPr>
        <w:t>There is need to improve the State’s Internally Generated Revenue in subsequent quarters in order to meet the target of increasing</w:t>
      </w:r>
      <w:r w:rsidRPr="00EC7B70">
        <w:rPr>
          <w:rFonts w:ascii="Tahoma" w:hAnsi="Tahoma" w:cs="Tahoma"/>
          <w:sz w:val="28"/>
          <w:szCs w:val="28"/>
        </w:rPr>
        <w:t xml:space="preserve"> actual Independent Revenue by at least 50%</w:t>
      </w:r>
      <w:r>
        <w:rPr>
          <w:rFonts w:ascii="Tahoma" w:hAnsi="Tahoma" w:cs="Tahoma"/>
          <w:sz w:val="28"/>
          <w:szCs w:val="28"/>
        </w:rPr>
        <w:t>.</w:t>
      </w:r>
    </w:p>
    <w:p w:rsidR="00170EAC" w:rsidRPr="00A81BEF" w:rsidRDefault="00170EAC" w:rsidP="009A42D6">
      <w:pPr>
        <w:pStyle w:val="NoSpacing"/>
        <w:numPr>
          <w:ilvl w:val="0"/>
          <w:numId w:val="5"/>
        </w:numPr>
        <w:spacing w:line="360" w:lineRule="auto"/>
        <w:jc w:val="both"/>
        <w:rPr>
          <w:rFonts w:ascii="Tahoma" w:hAnsi="Tahoma" w:cs="Tahoma"/>
          <w:sz w:val="28"/>
          <w:szCs w:val="28"/>
        </w:rPr>
      </w:pPr>
      <w:r w:rsidRPr="00A81BEF">
        <w:rPr>
          <w:rFonts w:ascii="Tahoma" w:hAnsi="Tahoma" w:cs="Tahoma"/>
          <w:sz w:val="28"/>
          <w:szCs w:val="28"/>
        </w:rPr>
        <w:t>More efforts should be geared towards attracting Development Partners and Donors to the State so as to complement the financing of the various developmental projects in the State.</w:t>
      </w:r>
    </w:p>
    <w:p w:rsidR="00170EAC" w:rsidRPr="00700731" w:rsidRDefault="00A81BEF" w:rsidP="009A42D6">
      <w:pPr>
        <w:pStyle w:val="Textbody"/>
        <w:numPr>
          <w:ilvl w:val="0"/>
          <w:numId w:val="5"/>
        </w:numPr>
        <w:spacing w:after="0" w:line="360" w:lineRule="auto"/>
        <w:jc w:val="both"/>
        <w:rPr>
          <w:rFonts w:ascii="Tahoma" w:hAnsi="Tahoma" w:cs="Tahoma"/>
          <w:sz w:val="28"/>
          <w:szCs w:val="28"/>
        </w:rPr>
      </w:pPr>
      <w:r>
        <w:rPr>
          <w:rFonts w:ascii="Tahoma" w:hAnsi="Tahoma" w:cs="Tahoma"/>
          <w:sz w:val="28"/>
          <w:szCs w:val="28"/>
        </w:rPr>
        <w:t>C</w:t>
      </w:r>
      <w:r w:rsidR="00170EAC">
        <w:rPr>
          <w:rFonts w:ascii="Tahoma" w:hAnsi="Tahoma" w:cs="Tahoma"/>
          <w:sz w:val="28"/>
          <w:szCs w:val="28"/>
        </w:rPr>
        <w:t>apital budget implementation should still be given more attention in subsequent</w:t>
      </w:r>
      <w:r>
        <w:rPr>
          <w:rFonts w:ascii="Tahoma" w:hAnsi="Tahoma" w:cs="Tahoma"/>
          <w:sz w:val="28"/>
          <w:szCs w:val="28"/>
        </w:rPr>
        <w:t xml:space="preserve"> quarters</w:t>
      </w:r>
      <w:r w:rsidR="00170EAC">
        <w:rPr>
          <w:rFonts w:ascii="Tahoma" w:hAnsi="Tahoma" w:cs="Tahoma"/>
          <w:sz w:val="28"/>
          <w:szCs w:val="28"/>
        </w:rPr>
        <w:t xml:space="preserve">. </w:t>
      </w:r>
    </w:p>
    <w:p w:rsidR="00170EAC" w:rsidRDefault="00170EAC" w:rsidP="009A42D6">
      <w:pPr>
        <w:pStyle w:val="ListParagraph"/>
        <w:numPr>
          <w:ilvl w:val="0"/>
          <w:numId w:val="5"/>
        </w:numPr>
        <w:spacing w:after="0" w:line="360" w:lineRule="auto"/>
        <w:jc w:val="both"/>
        <w:rPr>
          <w:rFonts w:ascii="Tahoma" w:hAnsi="Tahoma" w:cs="Tahoma"/>
          <w:sz w:val="28"/>
          <w:szCs w:val="28"/>
        </w:rPr>
      </w:pPr>
      <w:r w:rsidRPr="00E73F5A">
        <w:rPr>
          <w:rFonts w:ascii="Tahoma" w:hAnsi="Tahoma" w:cs="Tahoma"/>
          <w:sz w:val="28"/>
          <w:szCs w:val="28"/>
        </w:rPr>
        <w:t xml:space="preserve">The Monitoring and Evaluation Department of the Ministry of Economic Planning and Budget should </w:t>
      </w:r>
      <w:r>
        <w:rPr>
          <w:rFonts w:ascii="Tahoma" w:hAnsi="Tahoma" w:cs="Tahoma"/>
          <w:sz w:val="28"/>
          <w:szCs w:val="28"/>
        </w:rPr>
        <w:t xml:space="preserve">be given necessary support to </w:t>
      </w:r>
      <w:r w:rsidRPr="00E73F5A">
        <w:rPr>
          <w:rFonts w:ascii="Tahoma" w:hAnsi="Tahoma" w:cs="Tahoma"/>
          <w:sz w:val="28"/>
          <w:szCs w:val="28"/>
        </w:rPr>
        <w:t xml:space="preserve">conduct </w:t>
      </w:r>
      <w:r>
        <w:rPr>
          <w:rFonts w:ascii="Tahoma" w:hAnsi="Tahoma" w:cs="Tahoma"/>
          <w:sz w:val="28"/>
          <w:szCs w:val="28"/>
        </w:rPr>
        <w:t xml:space="preserve">independent </w:t>
      </w:r>
      <w:r w:rsidRPr="00E73F5A">
        <w:rPr>
          <w:rFonts w:ascii="Tahoma" w:hAnsi="Tahoma" w:cs="Tahoma"/>
          <w:sz w:val="28"/>
          <w:szCs w:val="28"/>
        </w:rPr>
        <w:t xml:space="preserve">monitoring </w:t>
      </w:r>
      <w:r>
        <w:rPr>
          <w:rFonts w:ascii="Tahoma" w:hAnsi="Tahoma" w:cs="Tahoma"/>
          <w:sz w:val="28"/>
          <w:szCs w:val="28"/>
        </w:rPr>
        <w:t>exercise of projects</w:t>
      </w:r>
      <w:r w:rsidRPr="00E73F5A">
        <w:rPr>
          <w:rFonts w:ascii="Tahoma" w:hAnsi="Tahoma" w:cs="Tahoma"/>
          <w:sz w:val="28"/>
          <w:szCs w:val="28"/>
        </w:rPr>
        <w:t xml:space="preserve"> and advi</w:t>
      </w:r>
      <w:r>
        <w:rPr>
          <w:rFonts w:ascii="Tahoma" w:hAnsi="Tahoma" w:cs="Tahoma"/>
          <w:sz w:val="28"/>
          <w:szCs w:val="28"/>
        </w:rPr>
        <w:t>se government appropriately.</w:t>
      </w:r>
    </w:p>
    <w:p w:rsidR="009A42D6" w:rsidRPr="00C04C41" w:rsidRDefault="009A42D6" w:rsidP="009A42D6">
      <w:pPr>
        <w:pStyle w:val="ListParagraph"/>
        <w:spacing w:after="0" w:line="360" w:lineRule="auto"/>
        <w:jc w:val="both"/>
        <w:rPr>
          <w:rFonts w:ascii="Tahoma" w:hAnsi="Tahoma" w:cs="Tahoma"/>
          <w:sz w:val="28"/>
          <w:szCs w:val="28"/>
        </w:rPr>
      </w:pPr>
    </w:p>
    <w:p w:rsidR="00170EAC" w:rsidRPr="00FC2813" w:rsidRDefault="00170EAC" w:rsidP="009A42D6">
      <w:pPr>
        <w:pStyle w:val="NoSpacing"/>
        <w:spacing w:line="360" w:lineRule="auto"/>
        <w:jc w:val="both"/>
        <w:rPr>
          <w:rFonts w:ascii="Tahoma" w:hAnsi="Tahoma" w:cs="Tahoma"/>
          <w:b/>
          <w:sz w:val="28"/>
          <w:szCs w:val="28"/>
        </w:rPr>
      </w:pPr>
      <w:r>
        <w:rPr>
          <w:rFonts w:ascii="Tahoma" w:hAnsi="Tahoma" w:cs="Tahoma"/>
          <w:b/>
          <w:sz w:val="28"/>
          <w:szCs w:val="28"/>
        </w:rPr>
        <w:lastRenderedPageBreak/>
        <w:t>5.3</w:t>
      </w:r>
      <w:r>
        <w:rPr>
          <w:rFonts w:ascii="Tahoma" w:hAnsi="Tahoma" w:cs="Tahoma"/>
          <w:b/>
          <w:sz w:val="28"/>
          <w:szCs w:val="28"/>
        </w:rPr>
        <w:tab/>
      </w:r>
      <w:r w:rsidRPr="00FC2813">
        <w:rPr>
          <w:rFonts w:ascii="Tahoma" w:hAnsi="Tahoma" w:cs="Tahoma"/>
          <w:b/>
          <w:sz w:val="28"/>
          <w:szCs w:val="28"/>
        </w:rPr>
        <w:t>CONCLUSION</w:t>
      </w:r>
    </w:p>
    <w:p w:rsidR="00170EAC" w:rsidRDefault="005B20A7" w:rsidP="009A42D6">
      <w:pPr>
        <w:pStyle w:val="NoSpacing"/>
        <w:spacing w:line="360" w:lineRule="auto"/>
        <w:ind w:firstLine="720"/>
        <w:jc w:val="both"/>
        <w:rPr>
          <w:rFonts w:ascii="Tahoma" w:hAnsi="Tahoma" w:cs="Tahoma"/>
          <w:sz w:val="28"/>
          <w:szCs w:val="28"/>
        </w:rPr>
      </w:pPr>
      <w:r>
        <w:rPr>
          <w:rFonts w:ascii="Tahoma" w:hAnsi="Tahoma" w:cs="Tahoma"/>
          <w:sz w:val="28"/>
          <w:szCs w:val="28"/>
        </w:rPr>
        <w:t>The</w:t>
      </w:r>
      <w:r w:rsidR="00170EAC">
        <w:rPr>
          <w:rFonts w:ascii="Tahoma" w:hAnsi="Tahoma" w:cs="Tahoma"/>
          <w:sz w:val="28"/>
          <w:szCs w:val="28"/>
        </w:rPr>
        <w:t xml:space="preserve"> budget perform</w:t>
      </w:r>
      <w:r>
        <w:rPr>
          <w:rFonts w:ascii="Tahoma" w:hAnsi="Tahoma" w:cs="Tahoma"/>
          <w:sz w:val="28"/>
          <w:szCs w:val="28"/>
        </w:rPr>
        <w:t>ance in the 2019 first quarter</w:t>
      </w:r>
      <w:r w:rsidR="00130522">
        <w:rPr>
          <w:rFonts w:ascii="Tahoma" w:hAnsi="Tahoma" w:cs="Tahoma"/>
          <w:sz w:val="28"/>
          <w:szCs w:val="28"/>
        </w:rPr>
        <w:t xml:space="preserve"> </w:t>
      </w:r>
      <w:r>
        <w:rPr>
          <w:rFonts w:ascii="Tahoma" w:hAnsi="Tahoma" w:cs="Tahoma"/>
          <w:sz w:val="28"/>
          <w:szCs w:val="28"/>
        </w:rPr>
        <w:t>Appraisal was below average</w:t>
      </w:r>
      <w:r w:rsidR="00170EAC">
        <w:rPr>
          <w:rFonts w:ascii="Tahoma" w:hAnsi="Tahoma" w:cs="Tahoma"/>
          <w:sz w:val="28"/>
          <w:szCs w:val="28"/>
        </w:rPr>
        <w:t>. Both revenue and exp</w:t>
      </w:r>
      <w:r>
        <w:rPr>
          <w:rFonts w:ascii="Tahoma" w:hAnsi="Tahoma" w:cs="Tahoma"/>
          <w:sz w:val="28"/>
          <w:szCs w:val="28"/>
        </w:rPr>
        <w:t>enditure performed fairly below</w:t>
      </w:r>
      <w:r w:rsidR="008B746D">
        <w:rPr>
          <w:rFonts w:ascii="Tahoma" w:hAnsi="Tahoma" w:cs="Tahoma"/>
          <w:sz w:val="28"/>
          <w:szCs w:val="28"/>
        </w:rPr>
        <w:t xml:space="preserve"> fifty percent in the quarter.  M</w:t>
      </w:r>
      <w:r w:rsidR="00170EAC">
        <w:rPr>
          <w:rFonts w:ascii="Tahoma" w:hAnsi="Tahoma" w:cs="Tahoma"/>
          <w:sz w:val="28"/>
          <w:szCs w:val="28"/>
        </w:rPr>
        <w:t xml:space="preserve">easures </w:t>
      </w:r>
      <w:r w:rsidR="008B746D">
        <w:rPr>
          <w:rFonts w:ascii="Tahoma" w:hAnsi="Tahoma" w:cs="Tahoma"/>
          <w:sz w:val="28"/>
          <w:szCs w:val="28"/>
        </w:rPr>
        <w:t>should further be taken to</w:t>
      </w:r>
      <w:r w:rsidR="00170EAC">
        <w:rPr>
          <w:rFonts w:ascii="Tahoma" w:hAnsi="Tahoma" w:cs="Tahoma"/>
          <w:sz w:val="28"/>
          <w:szCs w:val="28"/>
        </w:rPr>
        <w:t xml:space="preserve"> improve budget performance in order to reduce budget variance to le</w:t>
      </w:r>
      <w:r w:rsidR="00BD07F4">
        <w:rPr>
          <w:rFonts w:ascii="Tahoma" w:hAnsi="Tahoma" w:cs="Tahoma"/>
          <w:sz w:val="28"/>
          <w:szCs w:val="28"/>
        </w:rPr>
        <w:t>ss than twenty</w:t>
      </w:r>
      <w:r w:rsidR="00170EAC">
        <w:rPr>
          <w:rFonts w:ascii="Tahoma" w:hAnsi="Tahoma" w:cs="Tahoma"/>
          <w:sz w:val="28"/>
          <w:szCs w:val="28"/>
        </w:rPr>
        <w:t xml:space="preserve"> percent in the State.</w:t>
      </w:r>
    </w:p>
    <w:p w:rsidR="00170EAC" w:rsidRDefault="00170EAC" w:rsidP="009A42D6">
      <w:pPr>
        <w:pStyle w:val="Textbody"/>
        <w:spacing w:after="0" w:line="360" w:lineRule="auto"/>
        <w:jc w:val="both"/>
        <w:rPr>
          <w:rFonts w:ascii="Tahoma" w:hAnsi="Tahoma" w:cs="Tahoma"/>
          <w:sz w:val="28"/>
          <w:szCs w:val="28"/>
        </w:rPr>
      </w:pPr>
      <w:r>
        <w:rPr>
          <w:rFonts w:ascii="Tahoma" w:hAnsi="Tahoma" w:cs="Tahoma"/>
          <w:sz w:val="28"/>
          <w:szCs w:val="28"/>
        </w:rPr>
        <w:tab/>
      </w:r>
      <w:r w:rsidRPr="006704BC">
        <w:rPr>
          <w:rFonts w:ascii="Tahoma" w:hAnsi="Tahoma" w:cs="Tahoma"/>
          <w:sz w:val="28"/>
          <w:szCs w:val="28"/>
        </w:rPr>
        <w:t>I</w:t>
      </w:r>
      <w:r>
        <w:rPr>
          <w:rFonts w:ascii="Tahoma" w:hAnsi="Tahoma" w:cs="Tahoma"/>
          <w:sz w:val="28"/>
          <w:szCs w:val="28"/>
        </w:rPr>
        <w:t>n conclusion, efforts should be channelled towards addressing the observations and implementing</w:t>
      </w:r>
      <w:r w:rsidR="008B746D">
        <w:rPr>
          <w:rFonts w:ascii="Tahoma" w:hAnsi="Tahoma" w:cs="Tahoma"/>
          <w:sz w:val="28"/>
          <w:szCs w:val="28"/>
        </w:rPr>
        <w:t xml:space="preserve"> the recommendations in the 2019 first quarter</w:t>
      </w:r>
      <w:r>
        <w:rPr>
          <w:rFonts w:ascii="Tahoma" w:hAnsi="Tahoma" w:cs="Tahoma"/>
          <w:sz w:val="28"/>
          <w:szCs w:val="28"/>
        </w:rPr>
        <w:t xml:space="preserve"> Budget Implementation Appraisal for a better </w:t>
      </w:r>
      <w:r w:rsidRPr="006704BC">
        <w:rPr>
          <w:rFonts w:ascii="Tahoma" w:hAnsi="Tahoma" w:cs="Tahoma"/>
          <w:sz w:val="28"/>
          <w:szCs w:val="28"/>
        </w:rPr>
        <w:t xml:space="preserve">budget </w:t>
      </w:r>
      <w:r>
        <w:rPr>
          <w:rFonts w:ascii="Tahoma" w:hAnsi="Tahoma" w:cs="Tahoma"/>
          <w:sz w:val="28"/>
          <w:szCs w:val="28"/>
        </w:rPr>
        <w:t>per</w:t>
      </w:r>
      <w:r w:rsidR="008B746D">
        <w:rPr>
          <w:rFonts w:ascii="Tahoma" w:hAnsi="Tahoma" w:cs="Tahoma"/>
          <w:sz w:val="28"/>
          <w:szCs w:val="28"/>
        </w:rPr>
        <w:t>formance in the subsequent quarters</w:t>
      </w:r>
      <w:r>
        <w:rPr>
          <w:rFonts w:ascii="Tahoma" w:hAnsi="Tahoma" w:cs="Tahoma"/>
          <w:sz w:val="28"/>
          <w:szCs w:val="28"/>
        </w:rPr>
        <w:t>.</w:t>
      </w:r>
    </w:p>
    <w:p w:rsidR="00170EAC" w:rsidRDefault="00170EAC" w:rsidP="009A42D6">
      <w:pPr>
        <w:pStyle w:val="NoSpacing"/>
        <w:spacing w:line="360" w:lineRule="auto"/>
        <w:ind w:firstLine="720"/>
        <w:jc w:val="both"/>
        <w:rPr>
          <w:rFonts w:ascii="Tahoma" w:eastAsia="Times New Roman" w:hAnsi="Tahoma" w:cs="Tahoma"/>
          <w:bCs/>
          <w:color w:val="000000"/>
          <w:sz w:val="28"/>
          <w:szCs w:val="28"/>
          <w:lang w:eastAsia="en-GB"/>
        </w:rPr>
      </w:pPr>
    </w:p>
    <w:p w:rsidR="002E5ABD" w:rsidRDefault="002E5ABD" w:rsidP="009A42D6">
      <w:pPr>
        <w:pStyle w:val="NoSpacing"/>
        <w:spacing w:line="360" w:lineRule="auto"/>
        <w:ind w:firstLine="720"/>
        <w:jc w:val="both"/>
        <w:rPr>
          <w:rFonts w:ascii="Tahoma" w:eastAsia="Times New Roman" w:hAnsi="Tahoma" w:cs="Tahoma"/>
          <w:bCs/>
          <w:color w:val="000000"/>
          <w:sz w:val="28"/>
          <w:szCs w:val="28"/>
          <w:lang w:eastAsia="en-GB"/>
        </w:rPr>
      </w:pPr>
    </w:p>
    <w:p w:rsidR="002E5ABD" w:rsidRDefault="002E5ABD" w:rsidP="009A42D6">
      <w:pPr>
        <w:pStyle w:val="NoSpacing"/>
        <w:spacing w:line="360" w:lineRule="auto"/>
        <w:ind w:firstLine="720"/>
        <w:jc w:val="both"/>
        <w:rPr>
          <w:rFonts w:ascii="Tahoma" w:eastAsia="Times New Roman" w:hAnsi="Tahoma" w:cs="Tahoma"/>
          <w:bCs/>
          <w:color w:val="000000"/>
          <w:sz w:val="28"/>
          <w:szCs w:val="28"/>
          <w:lang w:eastAsia="en-GB"/>
        </w:rPr>
      </w:pPr>
    </w:p>
    <w:p w:rsidR="002E5ABD" w:rsidRDefault="002E5ABD" w:rsidP="009A42D6">
      <w:pPr>
        <w:pStyle w:val="NoSpacing"/>
        <w:spacing w:line="360" w:lineRule="auto"/>
        <w:ind w:firstLine="720"/>
        <w:jc w:val="both"/>
        <w:rPr>
          <w:rFonts w:ascii="Tahoma" w:eastAsia="Times New Roman" w:hAnsi="Tahoma" w:cs="Tahoma"/>
          <w:bCs/>
          <w:color w:val="000000"/>
          <w:sz w:val="28"/>
          <w:szCs w:val="28"/>
          <w:lang w:eastAsia="en-GB"/>
        </w:rPr>
      </w:pPr>
    </w:p>
    <w:p w:rsidR="002E5ABD" w:rsidRDefault="002E5ABD" w:rsidP="009A42D6">
      <w:pPr>
        <w:pStyle w:val="NoSpacing"/>
        <w:spacing w:line="360" w:lineRule="auto"/>
        <w:ind w:firstLine="720"/>
        <w:jc w:val="both"/>
        <w:rPr>
          <w:rFonts w:ascii="Tahoma" w:eastAsia="Times New Roman" w:hAnsi="Tahoma" w:cs="Tahoma"/>
          <w:bCs/>
          <w:color w:val="000000"/>
          <w:sz w:val="28"/>
          <w:szCs w:val="28"/>
          <w:lang w:eastAsia="en-GB"/>
        </w:rPr>
      </w:pPr>
    </w:p>
    <w:p w:rsidR="002E5ABD" w:rsidRDefault="002E5ABD" w:rsidP="009A42D6">
      <w:pPr>
        <w:pStyle w:val="NoSpacing"/>
        <w:spacing w:line="360" w:lineRule="auto"/>
        <w:ind w:firstLine="720"/>
        <w:jc w:val="both"/>
        <w:rPr>
          <w:rFonts w:ascii="Tahoma" w:eastAsia="Times New Roman" w:hAnsi="Tahoma" w:cs="Tahoma"/>
          <w:bCs/>
          <w:color w:val="000000"/>
          <w:sz w:val="28"/>
          <w:szCs w:val="28"/>
          <w:lang w:eastAsia="en-GB"/>
        </w:rPr>
      </w:pPr>
    </w:p>
    <w:p w:rsidR="002E5ABD" w:rsidRDefault="002E5ABD" w:rsidP="009A42D6">
      <w:pPr>
        <w:pStyle w:val="NoSpacing"/>
        <w:spacing w:line="360" w:lineRule="auto"/>
        <w:ind w:firstLine="720"/>
        <w:jc w:val="both"/>
        <w:rPr>
          <w:rFonts w:ascii="Tahoma" w:eastAsia="Times New Roman" w:hAnsi="Tahoma" w:cs="Tahoma"/>
          <w:bCs/>
          <w:color w:val="000000"/>
          <w:sz w:val="28"/>
          <w:szCs w:val="28"/>
          <w:lang w:eastAsia="en-GB"/>
        </w:rPr>
      </w:pPr>
    </w:p>
    <w:p w:rsidR="002E5ABD" w:rsidRDefault="002E5ABD" w:rsidP="002E5ABD">
      <w:pPr>
        <w:pStyle w:val="NoSpacing"/>
        <w:spacing w:line="360" w:lineRule="auto"/>
        <w:jc w:val="both"/>
        <w:rPr>
          <w:rFonts w:ascii="Tahoma" w:eastAsia="Times New Roman" w:hAnsi="Tahoma" w:cs="Tahoma"/>
          <w:bCs/>
          <w:color w:val="000000"/>
          <w:sz w:val="28"/>
          <w:szCs w:val="28"/>
          <w:lang w:eastAsia="en-GB"/>
        </w:rPr>
      </w:pPr>
    </w:p>
    <w:p w:rsidR="00170EAC" w:rsidRDefault="00170EAC"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2E5ABD">
      <w:pPr>
        <w:spacing w:after="0" w:line="240" w:lineRule="auto"/>
        <w:rPr>
          <w:rFonts w:ascii="Calibri" w:eastAsia="Times New Roman" w:hAnsi="Calibri" w:cs="Times New Roman"/>
          <w:b/>
          <w:bCs/>
          <w:color w:val="000000"/>
          <w:sz w:val="28"/>
          <w:szCs w:val="28"/>
        </w:rPr>
      </w:pPr>
    </w:p>
    <w:p w:rsidR="002E5ABD" w:rsidRPr="00BE0977" w:rsidRDefault="002E5ABD" w:rsidP="002E5AB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APPENDIX</w:t>
      </w:r>
    </w:p>
    <w:p w:rsidR="002E5ABD" w:rsidRPr="002E5ABD" w:rsidRDefault="002E5ABD" w:rsidP="002E5ABD">
      <w:pPr>
        <w:spacing w:after="0" w:line="240" w:lineRule="auto"/>
        <w:rPr>
          <w:rFonts w:ascii="Calibri" w:eastAsia="Times New Roman" w:hAnsi="Calibri" w:cs="Times New Roman"/>
          <w:b/>
          <w:bCs/>
          <w:color w:val="000000"/>
          <w:sz w:val="8"/>
          <w:szCs w:val="28"/>
        </w:rPr>
      </w:pPr>
    </w:p>
    <w:p w:rsidR="002E5ABD" w:rsidRDefault="002E5ABD" w:rsidP="002E5ABD">
      <w:pPr>
        <w:spacing w:after="0" w:line="240" w:lineRule="auto"/>
        <w:rPr>
          <w:rFonts w:ascii="Calibri" w:eastAsia="Times New Roman" w:hAnsi="Calibri" w:cs="Times New Roman"/>
          <w:b/>
          <w:bCs/>
          <w:color w:val="000000"/>
          <w:sz w:val="28"/>
          <w:szCs w:val="28"/>
        </w:rPr>
      </w:pPr>
      <w:r w:rsidRPr="00BE0977">
        <w:rPr>
          <w:rFonts w:ascii="Calibri" w:eastAsia="Times New Roman" w:hAnsi="Calibri" w:cs="Times New Roman"/>
          <w:b/>
          <w:bCs/>
          <w:color w:val="000000"/>
          <w:sz w:val="28"/>
          <w:szCs w:val="28"/>
        </w:rPr>
        <w:t>TABLE 1: Breakdown of MEDAs IGR</w:t>
      </w:r>
      <w:r>
        <w:rPr>
          <w:rFonts w:ascii="Calibri" w:eastAsia="Times New Roman" w:hAnsi="Calibri" w:cs="Times New Roman"/>
          <w:b/>
          <w:bCs/>
          <w:color w:val="000000"/>
          <w:sz w:val="28"/>
          <w:szCs w:val="28"/>
        </w:rPr>
        <w:t xml:space="preserve"> Performance</w:t>
      </w:r>
    </w:p>
    <w:p w:rsidR="002E5ABD" w:rsidRPr="002E5ABD" w:rsidRDefault="002E5ABD" w:rsidP="002E5ABD">
      <w:pPr>
        <w:spacing w:after="0" w:line="240" w:lineRule="auto"/>
        <w:rPr>
          <w:rFonts w:ascii="Calibri" w:eastAsia="Times New Roman" w:hAnsi="Calibri" w:cs="Times New Roman"/>
          <w:b/>
          <w:bCs/>
          <w:color w:val="000000"/>
          <w:sz w:val="12"/>
          <w:szCs w:val="28"/>
        </w:rPr>
      </w:pPr>
    </w:p>
    <w:tbl>
      <w:tblPr>
        <w:tblW w:w="8819" w:type="dxa"/>
        <w:tblLook w:val="04A0" w:firstRow="1" w:lastRow="0" w:firstColumn="1" w:lastColumn="0" w:noHBand="0" w:noVBand="1"/>
      </w:tblPr>
      <w:tblGrid>
        <w:gridCol w:w="529"/>
        <w:gridCol w:w="3220"/>
        <w:gridCol w:w="1783"/>
        <w:gridCol w:w="1783"/>
        <w:gridCol w:w="1504"/>
      </w:tblGrid>
      <w:tr w:rsidR="002E5ABD" w:rsidRPr="008B579A" w:rsidTr="007C4D56">
        <w:trPr>
          <w:trHeight w:val="780"/>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t>S/N</w:t>
            </w:r>
          </w:p>
        </w:tc>
        <w:tc>
          <w:tcPr>
            <w:tcW w:w="3220" w:type="dxa"/>
            <w:tcBorders>
              <w:top w:val="single" w:sz="4" w:space="0" w:color="auto"/>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t>MINISTRIES/DEPTS./PARASTATALS</w:t>
            </w:r>
          </w:p>
        </w:tc>
        <w:tc>
          <w:tcPr>
            <w:tcW w:w="1783" w:type="dxa"/>
            <w:tcBorders>
              <w:top w:val="single" w:sz="4" w:space="0" w:color="auto"/>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t>1st Quarter Target</w:t>
            </w:r>
          </w:p>
        </w:tc>
        <w:tc>
          <w:tcPr>
            <w:tcW w:w="1783" w:type="dxa"/>
            <w:tcBorders>
              <w:top w:val="single" w:sz="4" w:space="0" w:color="auto"/>
              <w:left w:val="nil"/>
              <w:bottom w:val="single" w:sz="4" w:space="0" w:color="auto"/>
              <w:right w:val="single" w:sz="4" w:space="0" w:color="auto"/>
            </w:tcBorders>
            <w:shd w:val="clear" w:color="auto" w:fill="auto"/>
            <w:noWrap/>
            <w:vAlign w:val="bottom"/>
            <w:hideMark/>
          </w:tcPr>
          <w:p w:rsidR="002E5ABD" w:rsidRPr="00D83A81" w:rsidRDefault="002E5ABD" w:rsidP="00BA5340">
            <w:pPr>
              <w:spacing w:after="0" w:line="240" w:lineRule="auto"/>
              <w:rPr>
                <w:rFonts w:ascii="Calibri" w:eastAsia="Times New Roman" w:hAnsi="Calibri" w:cs="Times New Roman"/>
                <w:b/>
                <w:color w:val="000000"/>
              </w:rPr>
            </w:pPr>
            <w:r w:rsidRPr="008B579A">
              <w:rPr>
                <w:rFonts w:ascii="Calibri" w:eastAsia="Times New Roman" w:hAnsi="Calibri" w:cs="Times New Roman"/>
                <w:color w:val="000000"/>
              </w:rPr>
              <w:t xml:space="preserve"> </w:t>
            </w:r>
            <w:r w:rsidRPr="00D83A81">
              <w:rPr>
                <w:rFonts w:ascii="Calibri" w:eastAsia="Times New Roman" w:hAnsi="Calibri" w:cs="Times New Roman"/>
                <w:b/>
                <w:color w:val="000000"/>
                <w:sz w:val="20"/>
              </w:rPr>
              <w:t xml:space="preserve">1st Quarter Actual </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t>% OF PERFORMANCE</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State Universal Basic Education Board (SUBEB)</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11,000,000.00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43,115,000.00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391.95</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Micro Credit Agency</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750,000.00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2,321,000.00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309.47</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Teaching Service Commission</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2,750.00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4,500.00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163.64</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Cabinet &amp; Special Services Dept.</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330,000.00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410,000.00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124.24</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Christian Welfare Board</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125,000.00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150,000.00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120.00</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information and Orientation</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825,000.00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800,000.00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96.97</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7</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Agric Dev. Prog. &amp; Agric Input Supply Agency</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476,400.00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94.28</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8</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Office of the State Auditor General</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605,000.00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571,986.50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94.54</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9</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Judiciary Service Commission</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45,650.00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91.30</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10</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Pensions Transitional Dept</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1,100,000.00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927,000.00</w:t>
            </w:r>
          </w:p>
        </w:tc>
        <w:tc>
          <w:tcPr>
            <w:tcW w:w="1504" w:type="dxa"/>
            <w:tcBorders>
              <w:top w:val="nil"/>
              <w:left w:val="nil"/>
              <w:bottom w:val="single" w:sz="4" w:space="0" w:color="auto"/>
              <w:right w:val="single" w:sz="4" w:space="0" w:color="auto"/>
            </w:tcBorders>
            <w:shd w:val="clear" w:color="auto" w:fill="auto"/>
            <w:noWrap/>
            <w:vAlign w:val="bottom"/>
            <w:hideMark/>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84.27</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11</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Judiciary</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27,500,000.00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21,050,345.50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76.55</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12</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Board of Internal Revenue</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3,817,500,000.00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2,583,033,502.67</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67.66</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13</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Investment Promotion Agency (ONDIPA</w:t>
            </w:r>
            <w:r w:rsidR="009D3C7B">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65,000,000.00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38,250,000.00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58.85</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14</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Commerce, Industries &amp; Cooperatives</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55,000,000.00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28,526,975.00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51.87</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Min. of  Lands And Housing </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204,000,000.00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98,162,272.25</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48.12</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16</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Liaison Office, Lagos</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750,000.00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347,000.00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46.27</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17</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Natural Resources</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275,000,000.00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122,944,420.00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44.71</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18</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Office Establishments</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10,000.00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40.00</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19</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Hospital Management Board</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1,375,000.00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507,100.00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36.88</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20</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Cocoa Revolution Office</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26,125,000.00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9,230,316.00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35.33</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21</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Customary Court of Appeal</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4,675,000.00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1,550,530.00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33.17</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22</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Ministry  of Transport</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110,000,000.00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29,984,034.80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27.26</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23</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Ministry of Justice</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54,500,000.00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12,993,633.21</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23.84</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24</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Education, Science and Technology</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270,000,000.00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58,800,765.00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21.78</w:t>
            </w:r>
          </w:p>
        </w:tc>
      </w:tr>
      <w:tr w:rsidR="002E5ABD"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25</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Physical Planning and Urban Develop.</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63,750,000.00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10,919,195.00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17.13</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26</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Ministry of Agriculture</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136,967,524.75</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18,903,660.00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13.80</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Culture And Tourism</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4,575,000.00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BA5340" w:rsidRDefault="002E5ABD" w:rsidP="00BA5340">
            <w:pPr>
              <w:spacing w:after="0" w:line="240" w:lineRule="auto"/>
              <w:rPr>
                <w:rFonts w:ascii="Calibri" w:eastAsia="Times New Roman" w:hAnsi="Calibri" w:cs="Times New Roman"/>
                <w:color w:val="000000"/>
                <w:sz w:val="18"/>
                <w:szCs w:val="18"/>
              </w:rPr>
            </w:pPr>
            <w:r w:rsidRPr="00BA5340">
              <w:rPr>
                <w:rFonts w:ascii="Calibri" w:eastAsia="Times New Roman" w:hAnsi="Calibri" w:cs="Times New Roman"/>
                <w:color w:val="000000"/>
                <w:sz w:val="18"/>
                <w:szCs w:val="18"/>
              </w:rPr>
              <w:t>607,500.00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13.28</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28</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Ministry of Environment</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19,500,000.00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2,450,000.00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12.56</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29</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Signage Agency</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82,500,000.00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9,976,213.00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12.09</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30</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Works and Infrastructure</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165,000,000.00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17,698,150.00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10.73</w:t>
            </w:r>
          </w:p>
        </w:tc>
      </w:tr>
      <w:tr w:rsidR="002E5ABD"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31</w:t>
            </w:r>
          </w:p>
        </w:tc>
        <w:tc>
          <w:tcPr>
            <w:tcW w:w="322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Ministry of Health</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15,500,000.00</w:t>
            </w:r>
          </w:p>
        </w:tc>
        <w:tc>
          <w:tcPr>
            <w:tcW w:w="1783"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1,559,000.00</w:t>
            </w:r>
          </w:p>
        </w:tc>
        <w:tc>
          <w:tcPr>
            <w:tcW w:w="1504" w:type="dxa"/>
            <w:tcBorders>
              <w:top w:val="nil"/>
              <w:left w:val="nil"/>
              <w:bottom w:val="single" w:sz="4" w:space="0" w:color="auto"/>
              <w:right w:val="single" w:sz="4" w:space="0" w:color="auto"/>
            </w:tcBorders>
            <w:shd w:val="clear" w:color="auto" w:fill="auto"/>
            <w:noWrap/>
            <w:vAlign w:val="bottom"/>
          </w:tcPr>
          <w:p w:rsidR="002E5ABD" w:rsidRPr="008B579A" w:rsidRDefault="009D3C7B"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10.06</w:t>
            </w: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32</w:t>
            </w:r>
          </w:p>
        </w:tc>
        <w:tc>
          <w:tcPr>
            <w:tcW w:w="3220" w:type="dxa"/>
            <w:tcBorders>
              <w:top w:val="nil"/>
              <w:left w:val="nil"/>
              <w:bottom w:val="single" w:sz="4" w:space="0" w:color="auto"/>
              <w:right w:val="single" w:sz="4" w:space="0" w:color="auto"/>
            </w:tcBorders>
            <w:shd w:val="clear" w:color="auto" w:fill="auto"/>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Ministry of Women Affairs and Social Dev.</w:t>
            </w:r>
          </w:p>
        </w:tc>
        <w:tc>
          <w:tcPr>
            <w:tcW w:w="1783"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1,650,000.00</w:t>
            </w:r>
          </w:p>
        </w:tc>
        <w:tc>
          <w:tcPr>
            <w:tcW w:w="1783"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114,500.00</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6.94</w:t>
            </w:r>
          </w:p>
        </w:tc>
      </w:tr>
      <w:tr w:rsidR="002930E2" w:rsidRPr="008B579A" w:rsidTr="007C4D56">
        <w:trPr>
          <w:trHeight w:val="780"/>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lastRenderedPageBreak/>
              <w:t>S/N</w:t>
            </w:r>
          </w:p>
        </w:tc>
        <w:tc>
          <w:tcPr>
            <w:tcW w:w="3220" w:type="dxa"/>
            <w:tcBorders>
              <w:top w:val="single" w:sz="4" w:space="0" w:color="auto"/>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t>MINISTRIES/DEPTS./PARASTATALS</w:t>
            </w:r>
          </w:p>
        </w:tc>
        <w:tc>
          <w:tcPr>
            <w:tcW w:w="1783" w:type="dxa"/>
            <w:tcBorders>
              <w:top w:val="single" w:sz="4" w:space="0" w:color="auto"/>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t>1st Quarter Target</w:t>
            </w:r>
          </w:p>
        </w:tc>
        <w:tc>
          <w:tcPr>
            <w:tcW w:w="1783" w:type="dxa"/>
            <w:tcBorders>
              <w:top w:val="single" w:sz="4" w:space="0" w:color="auto"/>
              <w:left w:val="nil"/>
              <w:bottom w:val="single" w:sz="4" w:space="0" w:color="auto"/>
              <w:right w:val="single" w:sz="4" w:space="0" w:color="auto"/>
            </w:tcBorders>
            <w:shd w:val="clear" w:color="auto" w:fill="auto"/>
            <w:noWrap/>
            <w:vAlign w:val="bottom"/>
            <w:hideMark/>
          </w:tcPr>
          <w:p w:rsidR="002930E2" w:rsidRPr="005A6E10" w:rsidRDefault="002930E2" w:rsidP="00BA5340">
            <w:pPr>
              <w:spacing w:after="0" w:line="240" w:lineRule="auto"/>
              <w:rPr>
                <w:rFonts w:ascii="Calibri" w:eastAsia="Times New Roman" w:hAnsi="Calibri" w:cs="Times New Roman"/>
                <w:b/>
                <w:color w:val="000000"/>
              </w:rPr>
            </w:pPr>
            <w:r w:rsidRPr="005A6E10">
              <w:rPr>
                <w:rFonts w:ascii="Calibri" w:eastAsia="Times New Roman" w:hAnsi="Calibri" w:cs="Times New Roman"/>
                <w:b/>
                <w:color w:val="000000"/>
              </w:rPr>
              <w:t xml:space="preserve"> 1st Quarter Actual </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b/>
                <w:bCs/>
                <w:color w:val="000000"/>
                <w:sz w:val="20"/>
                <w:szCs w:val="20"/>
              </w:rPr>
            </w:pPr>
            <w:r w:rsidRPr="008B579A">
              <w:rPr>
                <w:rFonts w:ascii="Calibri" w:eastAsia="Times New Roman" w:hAnsi="Calibri" w:cs="Times New Roman"/>
                <w:b/>
                <w:bCs/>
                <w:color w:val="000000"/>
                <w:sz w:val="20"/>
                <w:szCs w:val="20"/>
              </w:rPr>
              <w:t>% OF PERFORMANCE</w:t>
            </w: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33</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Local Govt and Chieftaincy Affairs</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1,500,000.00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70,000.00</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4.67</w:t>
            </w: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34</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Pools Betting &amp; Lotteries Board</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306,250,000.00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12,745,600.00</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4.16</w:t>
            </w: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35</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Ministry of Finance</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87,896,445.75</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3,563,385.00</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4.05</w:t>
            </w: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36</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Waste Management Authority</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7,025,000.00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245,450.00</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3.49</w:t>
            </w: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37</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State Inforation Technology Agency (SITA)</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275,000,000.00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9,566,000.00</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3.48</w:t>
            </w: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38</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Government Printing Press</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5,000,000.00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120,500.00</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2.41</w:t>
            </w: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39</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Government House and Protocol</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40</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Deputy Governor's office</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6,875.00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41</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Bereau Of public Procurement (BPP)</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1,250,000.00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42</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General Administration</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357,500.00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43</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Agric. Bus. Emperworment Centre</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5,500,000.00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44</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Liaison Office, Abuja</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550,000.00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45</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Muslim Welfare Board</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962,500.00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46</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Regional Integration and Special Duties</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47</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Inter-Governmental Affairs and Multi. Relation</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4,404,391.16</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48</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House of Assembly Commission</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55,000.00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49</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Office of Auditor General for Local Govt</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33,000,000.00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2930E2"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50</w:t>
            </w:r>
          </w:p>
        </w:tc>
        <w:tc>
          <w:tcPr>
            <w:tcW w:w="3220" w:type="dxa"/>
            <w:tcBorders>
              <w:top w:val="nil"/>
              <w:left w:val="nil"/>
              <w:bottom w:val="single" w:sz="4" w:space="0" w:color="auto"/>
              <w:right w:val="single" w:sz="4" w:space="0" w:color="auto"/>
            </w:tcBorders>
            <w:shd w:val="clear" w:color="auto" w:fill="auto"/>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Civil Service Commission</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25,000.00</w:t>
            </w:r>
          </w:p>
        </w:tc>
        <w:tc>
          <w:tcPr>
            <w:tcW w:w="1783"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2930E2" w:rsidRPr="008B579A" w:rsidRDefault="002930E2" w:rsidP="00BA5340">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51</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Independent Electoral Comm (ODIEC)</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275,000.00</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52</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Consumer Protection Committee</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2,500,000.00</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53</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Office Of Public Utilities</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27,000.00</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54</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Ondo State Agency for Road Maint. &amp; Cons.(OSAMCO)</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2,000,000.00</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55</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Ondo State Library Board </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82,500.00</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56</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Board for Adult, Technical &amp; Vocat. Education</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1,375,000.00</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57</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Directorate of Rural and Community Development</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1,110,000.00</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58</w:t>
            </w:r>
          </w:p>
        </w:tc>
        <w:tc>
          <w:tcPr>
            <w:tcW w:w="3220" w:type="dxa"/>
            <w:tcBorders>
              <w:top w:val="nil"/>
              <w:left w:val="nil"/>
              <w:bottom w:val="single" w:sz="4" w:space="0" w:color="auto"/>
              <w:right w:val="single" w:sz="4" w:space="0" w:color="auto"/>
            </w:tcBorders>
            <w:shd w:val="clear" w:color="auto" w:fill="auto"/>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Science Technical and Vocational Board</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1,584,000.00</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59</w:t>
            </w:r>
          </w:p>
        </w:tc>
        <w:tc>
          <w:tcPr>
            <w:tcW w:w="3220" w:type="dxa"/>
            <w:tcBorders>
              <w:top w:val="nil"/>
              <w:left w:val="nil"/>
              <w:bottom w:val="single" w:sz="4" w:space="0" w:color="auto"/>
              <w:right w:val="single" w:sz="4" w:space="0" w:color="auto"/>
            </w:tcBorders>
            <w:shd w:val="clear" w:color="auto" w:fill="auto"/>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Min of Youth Development and Sports</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15,000.00</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60</w:t>
            </w:r>
          </w:p>
        </w:tc>
        <w:tc>
          <w:tcPr>
            <w:tcW w:w="3220" w:type="dxa"/>
            <w:tcBorders>
              <w:top w:val="nil"/>
              <w:left w:val="nil"/>
              <w:bottom w:val="single" w:sz="4" w:space="0" w:color="auto"/>
              <w:right w:val="single" w:sz="4" w:space="0" w:color="auto"/>
            </w:tcBorders>
            <w:shd w:val="clear" w:color="auto" w:fill="auto"/>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Forestry Staff Training School, Owo</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2,479,625.00</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61</w:t>
            </w:r>
          </w:p>
        </w:tc>
        <w:tc>
          <w:tcPr>
            <w:tcW w:w="3220" w:type="dxa"/>
            <w:tcBorders>
              <w:top w:val="nil"/>
              <w:left w:val="nil"/>
              <w:bottom w:val="single" w:sz="4" w:space="0" w:color="auto"/>
              <w:right w:val="single" w:sz="4" w:space="0" w:color="auto"/>
            </w:tcBorders>
            <w:shd w:val="clear" w:color="auto" w:fill="auto"/>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Fire Services</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130,000.00</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62</w:t>
            </w:r>
          </w:p>
        </w:tc>
        <w:tc>
          <w:tcPr>
            <w:tcW w:w="3220" w:type="dxa"/>
            <w:tcBorders>
              <w:top w:val="nil"/>
              <w:left w:val="nil"/>
              <w:bottom w:val="single" w:sz="4" w:space="0" w:color="auto"/>
              <w:right w:val="single" w:sz="4" w:space="0" w:color="auto"/>
            </w:tcBorders>
            <w:shd w:val="clear" w:color="auto" w:fill="auto"/>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Education Endowement Levy</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7,617.73</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495"/>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63</w:t>
            </w:r>
          </w:p>
        </w:tc>
        <w:tc>
          <w:tcPr>
            <w:tcW w:w="3220" w:type="dxa"/>
            <w:tcBorders>
              <w:top w:val="nil"/>
              <w:left w:val="nil"/>
              <w:bottom w:val="single" w:sz="4" w:space="0" w:color="auto"/>
              <w:right w:val="single" w:sz="4" w:space="0" w:color="auto"/>
            </w:tcBorders>
            <w:shd w:val="clear" w:color="auto" w:fill="auto"/>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Ministry of Finance/Accountant General </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176,917,681.79</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RPr="008B579A" w:rsidTr="007C4D56">
        <w:trPr>
          <w:trHeight w:val="30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64</w:t>
            </w:r>
          </w:p>
        </w:tc>
        <w:tc>
          <w:tcPr>
            <w:tcW w:w="3220" w:type="dxa"/>
            <w:tcBorders>
              <w:top w:val="nil"/>
              <w:left w:val="nil"/>
              <w:bottom w:val="single" w:sz="4" w:space="0" w:color="auto"/>
              <w:right w:val="single" w:sz="4" w:space="0" w:color="auto"/>
            </w:tcBorders>
            <w:shd w:val="clear" w:color="auto" w:fill="auto"/>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Education Endowement Fund </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w:t>
            </w:r>
          </w:p>
        </w:tc>
        <w:tc>
          <w:tcPr>
            <w:tcW w:w="1783"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111,688,460.25</w:t>
            </w:r>
          </w:p>
        </w:tc>
        <w:tc>
          <w:tcPr>
            <w:tcW w:w="1504" w:type="dxa"/>
            <w:tcBorders>
              <w:top w:val="nil"/>
              <w:left w:val="nil"/>
              <w:bottom w:val="single" w:sz="4" w:space="0" w:color="auto"/>
              <w:right w:val="single" w:sz="4" w:space="0" w:color="auto"/>
            </w:tcBorders>
            <w:shd w:val="clear" w:color="auto" w:fill="auto"/>
            <w:noWrap/>
            <w:vAlign w:val="bottom"/>
            <w:hideMark/>
          </w:tcPr>
          <w:p w:rsidR="007C4D56" w:rsidRPr="008B579A" w:rsidRDefault="007C4D56" w:rsidP="007C4D56">
            <w:pPr>
              <w:spacing w:after="0" w:line="240" w:lineRule="auto"/>
              <w:rPr>
                <w:rFonts w:ascii="Calibri" w:eastAsia="Times New Roman" w:hAnsi="Calibri" w:cs="Times New Roman"/>
                <w:color w:val="000000"/>
                <w:sz w:val="18"/>
                <w:szCs w:val="18"/>
              </w:rPr>
            </w:pPr>
          </w:p>
        </w:tc>
      </w:tr>
      <w:tr w:rsidR="007C4D56" w:rsidTr="007C4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2"/>
        </w:trPr>
        <w:tc>
          <w:tcPr>
            <w:tcW w:w="3749" w:type="dxa"/>
            <w:gridSpan w:val="2"/>
          </w:tcPr>
          <w:p w:rsidR="007C4D56" w:rsidRPr="007C4D56" w:rsidRDefault="007C4D56" w:rsidP="007C4D56">
            <w:pPr>
              <w:ind w:left="-5"/>
              <w:rPr>
                <w:rFonts w:ascii="Calibri" w:eastAsia="Times New Roman" w:hAnsi="Calibri" w:cs="Times New Roman"/>
                <w:b/>
                <w:bCs/>
                <w:color w:val="000000"/>
                <w:szCs w:val="28"/>
              </w:rPr>
            </w:pPr>
            <w:r w:rsidRPr="007C4D56">
              <w:rPr>
                <w:rFonts w:ascii="Calibri" w:eastAsia="Times New Roman" w:hAnsi="Calibri" w:cs="Times New Roman"/>
                <w:b/>
                <w:bCs/>
                <w:color w:val="000000"/>
                <w:szCs w:val="28"/>
              </w:rPr>
              <w:t>TOTAL</w:t>
            </w:r>
          </w:p>
        </w:tc>
        <w:tc>
          <w:tcPr>
            <w:tcW w:w="1783" w:type="dxa"/>
          </w:tcPr>
          <w:p w:rsidR="007C4D56" w:rsidRPr="007C4D56" w:rsidRDefault="007C4D56" w:rsidP="007C4D56">
            <w:pPr>
              <w:rPr>
                <w:rFonts w:ascii="Calibri" w:eastAsia="Times New Roman" w:hAnsi="Calibri" w:cs="Times New Roman"/>
                <w:b/>
                <w:bCs/>
                <w:color w:val="000000"/>
                <w:szCs w:val="28"/>
              </w:rPr>
            </w:pPr>
            <w:r w:rsidRPr="007C4D56">
              <w:rPr>
                <w:rFonts w:ascii="Calibri" w:eastAsia="Times New Roman" w:hAnsi="Calibri" w:cs="Times New Roman"/>
                <w:b/>
                <w:bCs/>
                <w:color w:val="000000"/>
                <w:szCs w:val="28"/>
              </w:rPr>
              <w:t>6,280,682,486.66</w:t>
            </w:r>
          </w:p>
        </w:tc>
        <w:tc>
          <w:tcPr>
            <w:tcW w:w="1783" w:type="dxa"/>
          </w:tcPr>
          <w:p w:rsidR="007C4D56" w:rsidRPr="007C4D56" w:rsidRDefault="007C4D56" w:rsidP="007C4D56">
            <w:pPr>
              <w:rPr>
                <w:rFonts w:ascii="Calibri" w:eastAsia="Times New Roman" w:hAnsi="Calibri" w:cs="Times New Roman"/>
                <w:b/>
                <w:bCs/>
                <w:color w:val="000000"/>
                <w:szCs w:val="28"/>
              </w:rPr>
            </w:pPr>
            <w:r w:rsidRPr="007C4D56">
              <w:rPr>
                <w:rFonts w:ascii="Calibri" w:eastAsia="Times New Roman" w:hAnsi="Calibri" w:cs="Times New Roman"/>
                <w:b/>
                <w:bCs/>
                <w:color w:val="000000"/>
                <w:szCs w:val="28"/>
              </w:rPr>
              <w:t>3,435,573,968.70</w:t>
            </w:r>
          </w:p>
        </w:tc>
        <w:tc>
          <w:tcPr>
            <w:tcW w:w="1504" w:type="dxa"/>
          </w:tcPr>
          <w:p w:rsidR="007C4D56" w:rsidRDefault="007C4D56" w:rsidP="007C4D56">
            <w:pPr>
              <w:ind w:left="-5"/>
              <w:rPr>
                <w:rFonts w:ascii="Calibri" w:eastAsia="Times New Roman" w:hAnsi="Calibri" w:cs="Times New Roman"/>
                <w:b/>
                <w:bCs/>
                <w:color w:val="000000"/>
                <w:sz w:val="28"/>
                <w:szCs w:val="28"/>
              </w:rPr>
            </w:pPr>
            <w:r w:rsidRPr="007C4D56">
              <w:rPr>
                <w:rFonts w:ascii="Calibri" w:eastAsia="Times New Roman" w:hAnsi="Calibri" w:cs="Times New Roman"/>
                <w:b/>
                <w:bCs/>
                <w:color w:val="000000"/>
                <w:szCs w:val="28"/>
              </w:rPr>
              <w:t>54.70</w:t>
            </w:r>
          </w:p>
        </w:tc>
      </w:tr>
    </w:tbl>
    <w:p w:rsidR="002E5ABD" w:rsidRDefault="002E5ABD" w:rsidP="002E5ABD">
      <w:pPr>
        <w:rPr>
          <w:rFonts w:ascii="Calibri" w:eastAsia="Times New Roman" w:hAnsi="Calibri" w:cs="Times New Roman"/>
          <w:b/>
          <w:bCs/>
          <w:color w:val="000000"/>
          <w:sz w:val="28"/>
          <w:szCs w:val="28"/>
        </w:rPr>
      </w:pPr>
      <w:r w:rsidRPr="00BE0977">
        <w:rPr>
          <w:rFonts w:ascii="Calibri" w:eastAsia="Times New Roman" w:hAnsi="Calibri" w:cs="Times New Roman"/>
          <w:b/>
          <w:bCs/>
          <w:color w:val="000000"/>
          <w:sz w:val="28"/>
          <w:szCs w:val="28"/>
        </w:rPr>
        <w:lastRenderedPageBreak/>
        <w:t>TABLE 2: Details of MEDAs</w:t>
      </w:r>
      <w:r w:rsidR="00CC67A1">
        <w:rPr>
          <w:rFonts w:ascii="Calibri" w:eastAsia="Times New Roman" w:hAnsi="Calibri" w:cs="Times New Roman"/>
          <w:b/>
          <w:bCs/>
          <w:color w:val="000000"/>
          <w:sz w:val="28"/>
          <w:szCs w:val="28"/>
        </w:rPr>
        <w:t xml:space="preserve"> First Quarter</w:t>
      </w:r>
      <w:r w:rsidRPr="00BE0977">
        <w:rPr>
          <w:rFonts w:ascii="Calibri" w:eastAsia="Times New Roman" w:hAnsi="Calibri" w:cs="Times New Roman"/>
          <w:b/>
          <w:bCs/>
          <w:color w:val="000000"/>
          <w:sz w:val="28"/>
          <w:szCs w:val="28"/>
        </w:rPr>
        <w:t xml:space="preserve"> Recurrent and Capital Expenditure</w:t>
      </w:r>
    </w:p>
    <w:tbl>
      <w:tblPr>
        <w:tblW w:w="9489" w:type="dxa"/>
        <w:tblLook w:val="04A0" w:firstRow="1" w:lastRow="0" w:firstColumn="1" w:lastColumn="0" w:noHBand="0" w:noVBand="1"/>
      </w:tblPr>
      <w:tblGrid>
        <w:gridCol w:w="600"/>
        <w:gridCol w:w="2600"/>
        <w:gridCol w:w="1600"/>
        <w:gridCol w:w="1600"/>
        <w:gridCol w:w="1590"/>
        <w:gridCol w:w="1499"/>
      </w:tblGrid>
      <w:tr w:rsidR="002E5ABD" w:rsidRPr="008B579A" w:rsidTr="002E5ABD">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3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CAPITAL EXPENDITURE</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S/N</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SECTOR/MDAs/INSTITUTIONS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A</w:t>
            </w:r>
          </w:p>
        </w:tc>
        <w:tc>
          <w:tcPr>
            <w:tcW w:w="2600" w:type="dxa"/>
            <w:tcBorders>
              <w:top w:val="nil"/>
              <w:left w:val="nil"/>
              <w:bottom w:val="single" w:sz="4" w:space="0" w:color="auto"/>
              <w:right w:val="single" w:sz="4" w:space="0" w:color="auto"/>
            </w:tcBorders>
            <w:shd w:val="clear" w:color="000000" w:fill="FF0000"/>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ECONOMIC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A1</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u w:val="single"/>
              </w:rPr>
            </w:pPr>
            <w:r w:rsidRPr="008B579A">
              <w:rPr>
                <w:rFonts w:ascii="Calibri" w:eastAsia="Times New Roman" w:hAnsi="Calibri" w:cs="Times New Roman"/>
                <w:b/>
                <w:bCs/>
                <w:color w:val="000000"/>
                <w:sz w:val="18"/>
                <w:szCs w:val="18"/>
                <w:u w:val="single"/>
              </w:rPr>
              <w:t>AGRIC SUB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w:t>
            </w:r>
          </w:p>
        </w:tc>
        <w:tc>
          <w:tcPr>
            <w:tcW w:w="2600" w:type="dxa"/>
            <w:tcBorders>
              <w:top w:val="nil"/>
              <w:left w:val="nil"/>
              <w:bottom w:val="single" w:sz="4" w:space="0" w:color="auto"/>
              <w:right w:val="single" w:sz="4" w:space="0" w:color="auto"/>
            </w:tcBorders>
            <w:shd w:val="clear" w:color="000000" w:fill="FFFFFF"/>
            <w:vAlign w:val="bottom"/>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Natural Resources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705,156,067.90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144,037,931.46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Afforestation Project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72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Rural Access and Mobility Project (Community Based Urban Development Project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2,510,000,000.00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Accelerated Poverty Alleviation Agency (APAA)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Ministry of Agriculture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532,187,133.53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96,575,778.62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1,583,000,000.00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4,093,400.00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Forestry Training School, Owo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1,800,000.00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122,142.00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Agric Development Project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288,457,989.56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61,039,715.17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448,355,000.00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2,032,000.00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Agric Input and Supply Agency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67,715,733.63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16,149,484.14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1,820,000.00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Agroclimatology &amp; Ecological Project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6,600,000.00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825,000.00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Cocoa Revolution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350,400,000.00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Fadama Project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UN-REDD+ Project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10,500,000.00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Agri-Business Empowerment Centre (OSAEC)</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7,600,000.00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2,826,600,000.00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SUB TOTAL: Agric-sub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1,655,016,924.62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324,300,051.39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8,183,355,000.00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7,945,400.00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A2</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TRADE AND INDUSTRY SUB SECTOR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Commerce, Industries and Cooperatives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129,164,515.81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41,559,173.95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820,000,000.00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3,300,000.00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Consumer Protection Committee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6,500,000.00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562,500.00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Micro Credit Agency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48,245,182.82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13,542,287.23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Co-operative College, Akure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Employment and Productivity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Investment Promotion Agency (ONDIPA)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6,051,675.00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Free Trade Zone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1,609,925.34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Culture and Tourism</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233,360,520.69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31,761,983.53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SUB TOTAL: Trade and Industry Sub-Sector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617,270,219.32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89,035,870.05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2,150,000,000.00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9,351,675.00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A3</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INFRASTRUCTURAL SUB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Transport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435,482,935.94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68,026,195.53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706,600,000.00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Transport-Vehicle Inspection (Area) Office and Inland Waterways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3C003D" w:rsidRPr="008B579A" w:rsidTr="00130522">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lastRenderedPageBreak/>
              <w:t> </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3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CAPITAL EXPENDITURE</w:t>
            </w:r>
          </w:p>
        </w:tc>
      </w:tr>
      <w:tr w:rsidR="003C003D" w:rsidRPr="008B579A" w:rsidTr="00130522">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S/N</w:t>
            </w:r>
          </w:p>
        </w:tc>
        <w:tc>
          <w:tcPr>
            <w:tcW w:w="2600" w:type="dxa"/>
            <w:tcBorders>
              <w:top w:val="nil"/>
              <w:left w:val="nil"/>
              <w:bottom w:val="single" w:sz="4" w:space="0" w:color="auto"/>
              <w:right w:val="single" w:sz="4" w:space="0" w:color="auto"/>
            </w:tcBorders>
            <w:shd w:val="clear" w:color="auto" w:fill="auto"/>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SECTOR/MDAs/INSTITUTIONS</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Works and Infrastructure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449,605,834.16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90,875,813.75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23,523,060,000.00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2,256,506,651.88 </w:t>
            </w:r>
          </w:p>
        </w:tc>
      </w:tr>
      <w:tr w:rsidR="002E5ABD" w:rsidRPr="008B579A" w:rsidTr="002E5ABD">
        <w:trPr>
          <w:trHeight w:val="72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Agency for Road Maintenance and Construction (OSAMCO)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6,999,300.00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106,464,860.80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24</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electeicity board(oseb)</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592,181,377.29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36,481,640.02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1,981,333.33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25</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Water Corporation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679,083,774.40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111,616,959.60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3,309,039,360.00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26</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Rural Water Supply and Sanitation Agency (RUWASSA)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53,489,373.93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11,742,972.66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2,586,505,660.00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693,500.00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Development and Property Corporation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136,632,918.48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29,986,932.77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Direct Labour Agency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29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Lands and Housing</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212,217,871.11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52,759,958.36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Physical Planning and Urban Development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174,569,059.10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29,532,272.75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1,410,000.00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Public Utilities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3,499,998.00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SUB TOTAL: Infrastructure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2,835,263,144.41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443,322,043.44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33,187,205,020.00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2,367,056,346.01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A4</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PUBLIC FINANCE SUB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Bureau of Statistics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140,809,343.82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16,110,235.64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2,496,000.00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Board of Internal Revenue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1,904,716,162.36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263,988,158.47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544,900,000.00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484,426,815.79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Economic Planning and Budget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869,657,022.02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71,325,895.72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1,521,079,067.32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Budget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Manpower Development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Monitoring and Evaluation (MEMIS Project)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Project and Price Monitoring Unit (PPMU)/Bureau of Public Procurement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1,687,500.00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67,000,000.00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444,000.00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State Information Technology Agency (SITA)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125,862,788.77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19,306,055.13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352,000,000.00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39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State Information Technology Agency (SITA) Area Offices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6,700,000.00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the State Auditor General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424,867,855.33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59,531,821.04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Auditor General for Local Government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88,593,322.71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17,668,822.92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Pools Bettings and Lotteries Board</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620,571.00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Finance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5,758,505,124.34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2,228,849,431.17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5,145,800,000.00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11,555,500.00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Expenditure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4,998,000.00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State Finance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Debt Management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3,600,000.00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w:t>
            </w:r>
          </w:p>
          <w:p w:rsidR="003C003D" w:rsidRDefault="003C003D" w:rsidP="002E5ABD">
            <w:pPr>
              <w:spacing w:after="0" w:line="240" w:lineRule="auto"/>
              <w:rPr>
                <w:rFonts w:ascii="Calibri" w:eastAsia="Times New Roman" w:hAnsi="Calibri" w:cs="Times New Roman"/>
                <w:color w:val="000000"/>
                <w:sz w:val="18"/>
                <w:szCs w:val="18"/>
              </w:rPr>
            </w:pPr>
          </w:p>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w:t>
            </w:r>
          </w:p>
        </w:tc>
      </w:tr>
      <w:tr w:rsidR="003C003D" w:rsidRPr="008B579A" w:rsidTr="00130522">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lastRenderedPageBreak/>
              <w:t> </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3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CAPITAL EXPENDITURE</w:t>
            </w:r>
          </w:p>
        </w:tc>
      </w:tr>
      <w:tr w:rsidR="003C003D" w:rsidRPr="008B579A" w:rsidTr="00130522">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S/N</w:t>
            </w:r>
          </w:p>
        </w:tc>
        <w:tc>
          <w:tcPr>
            <w:tcW w:w="2600" w:type="dxa"/>
            <w:tcBorders>
              <w:top w:val="nil"/>
              <w:left w:val="nil"/>
              <w:bottom w:val="single" w:sz="4" w:space="0" w:color="auto"/>
              <w:right w:val="single" w:sz="4" w:space="0" w:color="auto"/>
            </w:tcBorders>
            <w:shd w:val="clear" w:color="auto" w:fill="auto"/>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SECTOR/MDAs/INSTITUTIONS</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the Accountant General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439,637,099.85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53,200,000.00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13,331,600.00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Youth Employment and Social Support Operations (YESSO)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2,573,056,567.00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SUB TOTAL:  Public Finance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9,903,348,719.20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2,754,986,491.09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10,996,835,634.32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512,253,915.79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7030A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TOTAL ECONOMIC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15,010,899,007.55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3,611,644,455.97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54,517,395,654.32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2,896,607,336.80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w:t>
            </w:r>
          </w:p>
        </w:tc>
        <w:tc>
          <w:tcPr>
            <w:tcW w:w="2600" w:type="dxa"/>
            <w:tcBorders>
              <w:top w:val="nil"/>
              <w:left w:val="nil"/>
              <w:bottom w:val="single" w:sz="4" w:space="0" w:color="auto"/>
              <w:right w:val="single" w:sz="4" w:space="0" w:color="auto"/>
            </w:tcBorders>
            <w:shd w:val="clear" w:color="000000" w:fill="FF000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SOCIAL SERVICES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B1</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EDUCATION SUB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Owena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49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Owo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Scholarship Board</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51,156,599.42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9,580,750.42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Board of Adult, Technical and Vocational Education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613,417,085.16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94,087,744.48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University Teaching Hospital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Akure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Ikare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Irele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Odigbo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Oka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Okitipupa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59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Teaching Service Commission, Ondo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Education, Science and Technology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2,008,991,934.51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277,800,044.55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1,550,000.00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Zonal Education Offices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642,774.00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Education Endowment Fund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State Universal Basic Education Board (SUBEB) Headquarters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626,504,075.05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76,403,114.56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5,570,352,058.54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10,803,040.00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State Universal Basic Education Board (Subeb) Zonal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6,047,799.00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Mega Schools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3,795,000.00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Library Board</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41,943,557.09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9,723,105.41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Rufus Giwa polytechnic, Owo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2,700,000,000.00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598,539,000.00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Adekunle Ajasin University, Akungba Akoko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1,902,000,000.00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446,250,000.00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69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University of Science and Technology, Okitipupa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126,000,000.00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Teaching Service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15,656,999,729.95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3,722,248,916.34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p w:rsidR="003C003D" w:rsidRDefault="003C003D" w:rsidP="002E5ABD">
            <w:pPr>
              <w:spacing w:after="0" w:line="240" w:lineRule="auto"/>
              <w:rPr>
                <w:rFonts w:ascii="Calibri" w:eastAsia="Times New Roman" w:hAnsi="Calibri" w:cs="Times New Roman"/>
                <w:color w:val="000000"/>
                <w:sz w:val="18"/>
                <w:szCs w:val="18"/>
              </w:rPr>
            </w:pPr>
          </w:p>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w:t>
            </w:r>
          </w:p>
        </w:tc>
      </w:tr>
      <w:tr w:rsidR="003C003D" w:rsidRPr="008B579A" w:rsidTr="00130522">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lastRenderedPageBreak/>
              <w:t> </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3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CAPITAL EXPENDITURE</w:t>
            </w:r>
          </w:p>
        </w:tc>
      </w:tr>
      <w:tr w:rsidR="003C003D" w:rsidRPr="008B579A" w:rsidTr="00130522">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S/N</w:t>
            </w:r>
          </w:p>
        </w:tc>
        <w:tc>
          <w:tcPr>
            <w:tcW w:w="2600" w:type="dxa"/>
            <w:tcBorders>
              <w:top w:val="nil"/>
              <w:left w:val="nil"/>
              <w:bottom w:val="single" w:sz="4" w:space="0" w:color="auto"/>
              <w:right w:val="single" w:sz="4" w:space="0" w:color="auto"/>
            </w:tcBorders>
            <w:shd w:val="clear" w:color="auto" w:fill="auto"/>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SECTOR/MDAs/INSTITUTIONS</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University  of Medical Science Teaching Hospital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University of Medical Sciences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722,000,000.00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135,000,000.00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SUB TOTAL: Education Sub-sector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25,612,012,981.18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5,511,668,248.76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9,494,352,058.54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12,353,040.00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B2</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HEALTH SUB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Agency for the Control of Aids (ODSACA)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970,875.00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Primary Health Care Management Board</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393,241,576.38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91,038,800.68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3,665,600,000.00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Hospital Management Board</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7,483,472,007.06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2,169,917,057.74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School of Nursing</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School of Midwifery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School of Health Technology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2,700,000.00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675,000.00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34,000,000.00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Emergency Medical Services Agency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96,900,000.00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2,640,000.00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1,650,000.00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79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Board of Alternative Medicine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Neuro-Psychiatric Specialist Hospital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1,749,000.00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Health</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690,497,471.35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138,181,542.56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2,405,000,000.00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SUB TOTAL: Health Sub-Sector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8,686,311,054.79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2,405,101,400.98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6,441,600,000.00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17,620,875.00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B3</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SOCIAL AND COMMUNITY DEV. SUB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Football Development Agency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700,000,000.00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135,000,000.00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Youth and Sports Development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152,773,032.95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14,382,460.50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62,500,000.00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Women Affairs and Social Development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588,199,289.21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40,758,160.28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p w:rsidR="002E5ABD" w:rsidRDefault="002E5ABD" w:rsidP="002E5ABD">
            <w:pPr>
              <w:spacing w:after="0" w:line="240" w:lineRule="auto"/>
              <w:rPr>
                <w:rFonts w:ascii="Calibri" w:eastAsia="Times New Roman" w:hAnsi="Calibri" w:cs="Times New Roman"/>
                <w:color w:val="000000"/>
                <w:sz w:val="18"/>
                <w:szCs w:val="18"/>
              </w:rPr>
            </w:pPr>
          </w:p>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Agency for the Welfare of the Physically Challenged Persons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1,362,500.00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39,000,000.00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Sports Council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365,382,264.51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79,014,002.29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Football Academy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Community and Social Development Agency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22,200,000.00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12,871,905.43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510,000,000.00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89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Directorate of Rural and Community Development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27,000,000.00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3,900,000.00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1,128,900,000.00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SUB TOTAL: Social and Community Dev. Sub-Sector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1,953,554,586.67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287,289,028.50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1,900,400,000.00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B4</w:t>
            </w:r>
          </w:p>
        </w:tc>
        <w:tc>
          <w:tcPr>
            <w:tcW w:w="2600" w:type="dxa"/>
            <w:tcBorders>
              <w:top w:val="nil"/>
              <w:left w:val="nil"/>
              <w:bottom w:val="single" w:sz="4" w:space="0" w:color="auto"/>
              <w:right w:val="single" w:sz="4" w:space="0" w:color="auto"/>
            </w:tcBorders>
            <w:shd w:val="clear" w:color="000000" w:fill="92D050"/>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Environment and Sewage Management Sub-Sector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90</w:t>
            </w:r>
          </w:p>
        </w:tc>
        <w:tc>
          <w:tcPr>
            <w:tcW w:w="2600" w:type="dxa"/>
            <w:tcBorders>
              <w:top w:val="nil"/>
              <w:left w:val="nil"/>
              <w:bottom w:val="single" w:sz="4" w:space="0" w:color="auto"/>
              <w:right w:val="single" w:sz="4" w:space="0" w:color="auto"/>
            </w:tcBorders>
            <w:shd w:val="clear" w:color="000000" w:fill="FFFFFF"/>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Waste Management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251,687,783.66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50,619,725.85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370,000,000.00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42,566,000.00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91</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Ondo State Waste Management Authority Area Office Ondo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Environment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217,038,666.78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39,679,170.31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New Map Project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1,125,000.00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Environmental Task Force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3C003D" w:rsidRPr="008B579A" w:rsidTr="00130522">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lastRenderedPageBreak/>
              <w:t> </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3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CAPITAL EXPENDITURE</w:t>
            </w:r>
          </w:p>
        </w:tc>
      </w:tr>
      <w:tr w:rsidR="003C003D" w:rsidRPr="008B579A" w:rsidTr="00130522">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S/N</w:t>
            </w:r>
          </w:p>
        </w:tc>
        <w:tc>
          <w:tcPr>
            <w:tcW w:w="2600" w:type="dxa"/>
            <w:tcBorders>
              <w:top w:val="nil"/>
              <w:left w:val="nil"/>
              <w:bottom w:val="single" w:sz="4" w:space="0" w:color="auto"/>
              <w:right w:val="single" w:sz="4" w:space="0" w:color="auto"/>
            </w:tcBorders>
            <w:shd w:val="clear" w:color="auto" w:fill="auto"/>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SECTOR/MDAs/INSTITUTIONS</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SUB TOTAL: Environment and Sewage Management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473,726,450.44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91,423,896.16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2,270,000,000.00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42,716,000.00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7030A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TOTAL SOCIAL SERVICES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36,725,605,073.08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8,295,482,574.40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20,106,352,058.54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72,689,915.00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w:t>
            </w:r>
          </w:p>
        </w:tc>
        <w:tc>
          <w:tcPr>
            <w:tcW w:w="2600" w:type="dxa"/>
            <w:tcBorders>
              <w:top w:val="nil"/>
              <w:left w:val="nil"/>
              <w:bottom w:val="single" w:sz="4" w:space="0" w:color="auto"/>
              <w:right w:val="single" w:sz="4" w:space="0" w:color="auto"/>
            </w:tcBorders>
            <w:shd w:val="clear" w:color="000000" w:fill="FF000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 LAW AND JUSTICE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C1</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Administration of Justice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JUDICIARY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1,511,783,260.89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406,848,830.83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918,000,000.00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JUDICIAL SERVICE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97,717,740.27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HONOURABLE CHIEF JUDGE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5,400,000.00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JUDICIARY DIVISION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4,553,571.00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Mobile Court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99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JUSTICE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310,801,577.64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60,695,875.54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LAW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24,136,772.36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4,333,422.62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72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CITIZEN'S RIGHT MEDIATION CENTRE/OFFICE OF PUBLIC DEFENDERS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1,800,000.00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High Court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CUSTOMARY COURT OF APPEAL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614,677,468.24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8,436,000.00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1,970,000.00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104</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Customary Court of appeal- judicial divisions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3,375,000.00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w:t>
            </w:r>
          </w:p>
          <w:p w:rsidR="002E5ABD" w:rsidRDefault="002E5ABD" w:rsidP="002E5ABD">
            <w:pPr>
              <w:spacing w:after="0" w:line="240" w:lineRule="auto"/>
              <w:rPr>
                <w:rFonts w:ascii="Calibri" w:eastAsia="Times New Roman" w:hAnsi="Calibri" w:cs="Times New Roman"/>
                <w:color w:val="000000"/>
                <w:sz w:val="18"/>
                <w:szCs w:val="18"/>
              </w:rPr>
            </w:pPr>
          </w:p>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72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THE PRESIDENT OF THE CUSTOMARY COURT OF APPEAL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4,725,000.00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7030A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TOTAL:  LAW AND JUSTICE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2,671,116,819.40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506,917,699.99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1,175,000,000.00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31,970,000.00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w:t>
            </w:r>
          </w:p>
        </w:tc>
        <w:tc>
          <w:tcPr>
            <w:tcW w:w="2600" w:type="dxa"/>
            <w:tcBorders>
              <w:top w:val="nil"/>
              <w:left w:val="nil"/>
              <w:bottom w:val="single" w:sz="4" w:space="0" w:color="auto"/>
              <w:right w:val="single" w:sz="4" w:space="0" w:color="auto"/>
            </w:tcBorders>
            <w:shd w:val="clear" w:color="000000" w:fill="FF000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ADMINISTRATION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D1</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General Administration Sub </w:t>
            </w:r>
            <w:r w:rsidR="003C003D">
              <w:rPr>
                <w:rFonts w:ascii="Times New Roman" w:eastAsia="Times New Roman" w:hAnsi="Times New Roman" w:cs="Times New Roman"/>
                <w:b/>
                <w:bCs/>
                <w:sz w:val="18"/>
                <w:szCs w:val="18"/>
              </w:rPr>
              <w:t>–</w:t>
            </w:r>
            <w:r w:rsidRPr="008B579A">
              <w:rPr>
                <w:rFonts w:ascii="Times New Roman" w:eastAsia="Times New Roman" w:hAnsi="Times New Roman" w:cs="Times New Roman"/>
                <w:b/>
                <w:bCs/>
                <w:sz w:val="18"/>
                <w:szCs w:val="18"/>
              </w:rPr>
              <w:t xml:space="preserve"> 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Governor's Office-Government House and Protocol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2,790,801,719.23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286,697,846.01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9,937,462.40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Deputy Governor's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542,573,478.13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59,505,530.05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2,178,000,000.00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Senior Special Assistants to the Governor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54,000,000.00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109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the Special Advisers to the Governor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33,000,000.00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A.D.C and C.S.O</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Boundary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22,100,000.00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562,500.00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Nigeria Security and Civil Defence Corps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348,600.00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the Head of Service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7,800,000.00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Senior Staff Club</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525,000.00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Public Service Training Institute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29,400,000.00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2,439,900.00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Establishments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517,414,978.89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47,208,198.71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14,450,000.00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3C003D" w:rsidRPr="008B579A" w:rsidTr="00130522">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lastRenderedPageBreak/>
              <w:t> </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3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CAPITAL EXPENDITURE</w:t>
            </w:r>
          </w:p>
        </w:tc>
      </w:tr>
      <w:tr w:rsidR="003C003D" w:rsidRPr="008B579A" w:rsidTr="00130522">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S/N</w:t>
            </w:r>
          </w:p>
        </w:tc>
        <w:tc>
          <w:tcPr>
            <w:tcW w:w="2600" w:type="dxa"/>
            <w:tcBorders>
              <w:top w:val="nil"/>
              <w:left w:val="nil"/>
              <w:bottom w:val="single" w:sz="4" w:space="0" w:color="auto"/>
              <w:right w:val="single" w:sz="4" w:space="0" w:color="auto"/>
            </w:tcBorders>
            <w:shd w:val="clear" w:color="auto" w:fill="auto"/>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SECTOR/MDAs/INSTITUTIONS</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Office of the Secretary to State Government (SSG)</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E-Personel Administration Salary System (e-PASS)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4,350,000.00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119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General Administration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312,613,823.69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22,125,468.71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1,290,000,000.00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297,343,961.57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Political and Economic Affairs Department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1,015,789,204.39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342,132,759.12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State Emergency Management Agency (SEMA)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Cabinet and Special Services Department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113,528,731.76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25,044,872.23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Liaison Office, Lagos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120,814,592.56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4,211,937.39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Liaison Office, Abuja</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77,113,811.20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8,340,312.91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Service Matters Department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1,800,000.00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Regional Integration and Special Duties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66,892,247.63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8,392,578.09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Fire Services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5,400,000.00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p w:rsidR="002E5ABD" w:rsidRDefault="002E5ABD" w:rsidP="002E5ABD">
            <w:pPr>
              <w:spacing w:after="0" w:line="240" w:lineRule="auto"/>
              <w:rPr>
                <w:rFonts w:ascii="Calibri" w:eastAsia="Times New Roman" w:hAnsi="Calibri" w:cs="Times New Roman"/>
                <w:color w:val="000000"/>
                <w:sz w:val="18"/>
                <w:szCs w:val="18"/>
              </w:rPr>
            </w:pPr>
          </w:p>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Public Complaint Commission/Ombudsman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129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Pensions Transitional Department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50,224,074.06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11,645,663.62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221,500,000.00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Muslim Welfare Board</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44,500,000.00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3,399,000.00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Christian Welfare Board</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55,000,000.00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3,390,000.00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Civil Service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121,103,401.62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24,848,440.02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Independent Electoral Commission (ODIEC)</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79,231,920.10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19,403,085.84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852,500.00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Independent Electoral Commission (ODIEC) Area Offices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10,800,000.00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498,000.00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Local Government and Chieftaincy Affairs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145,715,554.90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15,664,310.87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29,000,000.00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136</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Local Government Service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3,100,000.00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137</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Inter-Governmental Affairs and Multilateral Relations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29,000,000.00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637,500.00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6,522,722,400.00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138</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Nigerian Legion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630,000.00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139</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Consolidated Revenue Fund Charges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18,159,449,200.00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3,679,415,545.89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Personnel Arrears/CRFC</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163,230,747.22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Provision for Other grants and Loans/Personnel Buffer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Government Quarters Management Office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4,500,000.00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State Pension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52,941,005.33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14,716,865.97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53,000,000.00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SA on Youths and Student Affairs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p w:rsidR="003C003D" w:rsidRDefault="003C003D" w:rsidP="002E5ABD">
            <w:pPr>
              <w:spacing w:after="0" w:line="240" w:lineRule="auto"/>
              <w:rPr>
                <w:rFonts w:ascii="Calibri" w:eastAsia="Times New Roman" w:hAnsi="Calibri" w:cs="Times New Roman"/>
                <w:color w:val="000000"/>
                <w:sz w:val="18"/>
                <w:szCs w:val="18"/>
              </w:rPr>
            </w:pPr>
          </w:p>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w:t>
            </w:r>
          </w:p>
        </w:tc>
      </w:tr>
      <w:tr w:rsidR="003C003D" w:rsidRPr="008B579A" w:rsidTr="00130522">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lastRenderedPageBreak/>
              <w:t> </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3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CAPITAL EXPENDITURE</w:t>
            </w:r>
          </w:p>
        </w:tc>
      </w:tr>
      <w:tr w:rsidR="003C003D" w:rsidRPr="008B579A" w:rsidTr="00130522">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S/N</w:t>
            </w:r>
          </w:p>
        </w:tc>
        <w:tc>
          <w:tcPr>
            <w:tcW w:w="2600" w:type="dxa"/>
            <w:tcBorders>
              <w:top w:val="nil"/>
              <w:left w:val="nil"/>
              <w:bottom w:val="single" w:sz="4" w:space="0" w:color="auto"/>
              <w:right w:val="single" w:sz="4" w:space="0" w:color="auto"/>
            </w:tcBorders>
            <w:shd w:val="clear" w:color="auto" w:fill="auto"/>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SECTOR/MDAs/INSTITUTIONS</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60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3C003D" w:rsidRPr="008B579A" w:rsidRDefault="003C003D" w:rsidP="00130522">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ACTUAL</w:t>
            </w:r>
          </w:p>
        </w:tc>
      </w:tr>
      <w:tr w:rsidR="002E5ABD" w:rsidRPr="008B579A" w:rsidTr="002E5ABD">
        <w:trPr>
          <w:trHeight w:val="72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Industrial and Labour Relation Office/Office of Labour and Union Matters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1,999,800.00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SA on Multilateral Relations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 </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Deputy Chief of Staff</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4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 xml:space="preserve">SUB TOTAL: General Administration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24,885,088,490.71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4,632,233,715.43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12,640,672,400.00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308,133,923.97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D2</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LEGISLATIVE SUB-SECTOR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145</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State House of Assembly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3,279,880,669.09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297,737,162.56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981,140,000.00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146</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House of Assembly Commission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109,090,478.59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13,290,248.74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20,349,000.00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147</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Offices of the Speaker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96,000,000.00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12,600,000.00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148</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Office of the deputy speaker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79,500,000.00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10,433,250.00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p w:rsidR="002E5ABD" w:rsidRDefault="002E5ABD" w:rsidP="002E5ABD">
            <w:pPr>
              <w:spacing w:after="0" w:line="240" w:lineRule="auto"/>
              <w:rPr>
                <w:rFonts w:ascii="Calibri" w:eastAsia="Times New Roman" w:hAnsi="Calibri" w:cs="Times New Roman"/>
                <w:color w:val="000000"/>
                <w:sz w:val="18"/>
                <w:szCs w:val="18"/>
              </w:rPr>
            </w:pPr>
          </w:p>
          <w:p w:rsidR="002E5ABD" w:rsidRPr="008B579A" w:rsidRDefault="002E5ABD" w:rsidP="002E5ABD">
            <w:pPr>
              <w:spacing w:after="0" w:line="240" w:lineRule="auto"/>
              <w:rPr>
                <w:rFonts w:ascii="Calibri" w:eastAsia="Times New Roman" w:hAnsi="Calibri" w:cs="Times New Roman"/>
                <w:color w:val="000000"/>
                <w:sz w:val="18"/>
                <w:szCs w:val="18"/>
              </w:rPr>
            </w:pP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149</w:t>
            </w:r>
          </w:p>
        </w:tc>
        <w:tc>
          <w:tcPr>
            <w:tcW w:w="2600" w:type="dxa"/>
            <w:tcBorders>
              <w:top w:val="nil"/>
              <w:left w:val="nil"/>
              <w:bottom w:val="single" w:sz="4" w:space="0" w:color="auto"/>
              <w:right w:val="single" w:sz="4" w:space="0" w:color="auto"/>
            </w:tcBorders>
            <w:shd w:val="clear" w:color="auto" w:fill="auto"/>
            <w:vAlign w:val="bottom"/>
            <w:hideMark/>
          </w:tcPr>
          <w:p w:rsidR="002E5ABD" w:rsidRPr="008B579A" w:rsidRDefault="002E5ABD" w:rsidP="002E5ABD">
            <w:pPr>
              <w:spacing w:after="0" w:line="240" w:lineRule="auto"/>
              <w:rPr>
                <w:rFonts w:ascii="Times New Roman" w:eastAsia="Times New Roman" w:hAnsi="Times New Roman" w:cs="Times New Roman"/>
                <w:sz w:val="18"/>
                <w:szCs w:val="18"/>
              </w:rPr>
            </w:pPr>
            <w:r w:rsidRPr="008B579A">
              <w:rPr>
                <w:rFonts w:ascii="Times New Roman" w:eastAsia="Times New Roman" w:hAnsi="Times New Roman" w:cs="Times New Roman"/>
                <w:sz w:val="18"/>
                <w:szCs w:val="18"/>
              </w:rPr>
              <w:t>Public Account secretariat</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SUB TOTAL: Legislative</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3,572,471,147.68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334,060,661.30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1,001,489,000.00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D3</w:t>
            </w:r>
          </w:p>
        </w:tc>
        <w:tc>
          <w:tcPr>
            <w:tcW w:w="2600" w:type="dxa"/>
            <w:tcBorders>
              <w:top w:val="nil"/>
              <w:left w:val="nil"/>
              <w:bottom w:val="single" w:sz="4" w:space="0" w:color="auto"/>
              <w:right w:val="single" w:sz="4" w:space="0" w:color="auto"/>
            </w:tcBorders>
            <w:shd w:val="clear" w:color="000000" w:fill="92D05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INFORMATION SUB-SECTOR</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150</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Radiovision Corporation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284,723,179.60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32,496,322.38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370,000,000.00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151</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Ministry of Information and Orientation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461,137,591.03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87,642,434.37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152</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Orange FM</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80,317,895.10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16,518,804.22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10,687,500.00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153</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Government Printing Press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10,800,000.00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450,000.00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7,000,000.00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154</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Ondo State Signage Agency</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20,000,000.00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60,000,000.00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155</w:t>
            </w:r>
          </w:p>
        </w:tc>
        <w:tc>
          <w:tcPr>
            <w:tcW w:w="2600" w:type="dxa"/>
            <w:tcBorders>
              <w:top w:val="nil"/>
              <w:left w:val="nil"/>
              <w:bottom w:val="single" w:sz="4" w:space="0" w:color="auto"/>
              <w:right w:val="single" w:sz="4" w:space="0" w:color="auto"/>
            </w:tcBorders>
            <w:shd w:val="clear" w:color="000000" w:fill="FFFFFF"/>
            <w:vAlign w:val="center"/>
            <w:hideMark/>
          </w:tcPr>
          <w:p w:rsidR="002E5ABD" w:rsidRPr="008B579A" w:rsidRDefault="002E5ABD" w:rsidP="002E5ABD">
            <w:pPr>
              <w:spacing w:after="0" w:line="240" w:lineRule="auto"/>
              <w:rPr>
                <w:rFonts w:ascii="Times New Roman" w:eastAsia="Times New Roman" w:hAnsi="Times New Roman" w:cs="Times New Roman"/>
                <w:color w:val="000000"/>
                <w:sz w:val="18"/>
                <w:szCs w:val="18"/>
              </w:rPr>
            </w:pPr>
            <w:r w:rsidRPr="008B579A">
              <w:rPr>
                <w:rFonts w:ascii="Times New Roman" w:eastAsia="Times New Roman" w:hAnsi="Times New Roman" w:cs="Times New Roman"/>
                <w:color w:val="000000"/>
                <w:sz w:val="18"/>
                <w:szCs w:val="18"/>
              </w:rPr>
              <w:t>Owena Press</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130,000,000.00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18,482,800.00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15,000,000.00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color w:val="000000"/>
                <w:sz w:val="18"/>
                <w:szCs w:val="18"/>
              </w:rPr>
            </w:pPr>
            <w:r w:rsidRPr="008B579A">
              <w:rPr>
                <w:rFonts w:ascii="Calibri" w:eastAsia="Times New Roman" w:hAnsi="Calibri" w:cs="Times New Roman"/>
                <w:color w:val="000000"/>
                <w:sz w:val="18"/>
                <w:szCs w:val="18"/>
              </w:rPr>
              <w:t xml:space="preserve">                           -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00B0F0"/>
            <w:vAlign w:val="bottom"/>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SUB TOTAL: Information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986,978,665.73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156,190,360.97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672,000,000.00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10,687,500.00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7030A0"/>
            <w:hideMark/>
          </w:tcPr>
          <w:p w:rsidR="002E5ABD" w:rsidRPr="008B579A" w:rsidRDefault="002E5ABD" w:rsidP="002E5ABD">
            <w:pPr>
              <w:spacing w:after="0" w:line="240" w:lineRule="auto"/>
              <w:rPr>
                <w:rFonts w:ascii="Times New Roman" w:eastAsia="Times New Roman" w:hAnsi="Times New Roman" w:cs="Times New Roman"/>
                <w:b/>
                <w:bCs/>
                <w:sz w:val="18"/>
                <w:szCs w:val="18"/>
              </w:rPr>
            </w:pPr>
            <w:r w:rsidRPr="008B579A">
              <w:rPr>
                <w:rFonts w:ascii="Times New Roman" w:eastAsia="Times New Roman" w:hAnsi="Times New Roman" w:cs="Times New Roman"/>
                <w:b/>
                <w:bCs/>
                <w:sz w:val="18"/>
                <w:szCs w:val="18"/>
              </w:rPr>
              <w:t>TOTAL: ADMINISTRATION</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29,444,538,304.12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5,122,484,737.70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14,314,161,400.00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318,821,423.97 </w:t>
            </w:r>
          </w:p>
        </w:tc>
      </w:tr>
      <w:tr w:rsidR="002E5ABD" w:rsidRPr="008B579A" w:rsidTr="002E5ABD">
        <w:trPr>
          <w:trHeight w:val="24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jc w:val="center"/>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w:t>
            </w:r>
          </w:p>
        </w:tc>
        <w:tc>
          <w:tcPr>
            <w:tcW w:w="2600" w:type="dxa"/>
            <w:tcBorders>
              <w:top w:val="nil"/>
              <w:left w:val="nil"/>
              <w:bottom w:val="single" w:sz="4" w:space="0" w:color="auto"/>
              <w:right w:val="single" w:sz="4" w:space="0" w:color="auto"/>
            </w:tcBorders>
            <w:shd w:val="clear" w:color="000000" w:fill="FFC000"/>
            <w:vAlign w:val="center"/>
            <w:hideMark/>
          </w:tcPr>
          <w:p w:rsidR="002E5ABD" w:rsidRPr="008B579A" w:rsidRDefault="002E5ABD" w:rsidP="002E5ABD">
            <w:pPr>
              <w:spacing w:after="0" w:line="240" w:lineRule="auto"/>
              <w:rPr>
                <w:rFonts w:ascii="Times New Roman" w:eastAsia="Times New Roman" w:hAnsi="Times New Roman" w:cs="Times New Roman"/>
                <w:b/>
                <w:bCs/>
                <w:color w:val="000000"/>
                <w:sz w:val="18"/>
                <w:szCs w:val="18"/>
              </w:rPr>
            </w:pPr>
            <w:r w:rsidRPr="008B579A">
              <w:rPr>
                <w:rFonts w:ascii="Times New Roman" w:eastAsia="Times New Roman" w:hAnsi="Times New Roman" w:cs="Times New Roman"/>
                <w:b/>
                <w:bCs/>
                <w:color w:val="000000"/>
                <w:sz w:val="18"/>
                <w:szCs w:val="18"/>
              </w:rPr>
              <w:t>GRAND TOTAL</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83,852,159,204.15 </w:t>
            </w:r>
          </w:p>
        </w:tc>
        <w:tc>
          <w:tcPr>
            <w:tcW w:w="160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17,536,529,468.06 </w:t>
            </w:r>
          </w:p>
        </w:tc>
        <w:tc>
          <w:tcPr>
            <w:tcW w:w="1590"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90,112,909,112.86 </w:t>
            </w:r>
          </w:p>
        </w:tc>
        <w:tc>
          <w:tcPr>
            <w:tcW w:w="1499" w:type="dxa"/>
            <w:tcBorders>
              <w:top w:val="nil"/>
              <w:left w:val="nil"/>
              <w:bottom w:val="single" w:sz="4" w:space="0" w:color="auto"/>
              <w:right w:val="single" w:sz="4" w:space="0" w:color="auto"/>
            </w:tcBorders>
            <w:shd w:val="clear" w:color="auto" w:fill="auto"/>
            <w:noWrap/>
            <w:vAlign w:val="bottom"/>
            <w:hideMark/>
          </w:tcPr>
          <w:p w:rsidR="002E5ABD" w:rsidRPr="008B579A" w:rsidRDefault="002E5ABD" w:rsidP="002E5ABD">
            <w:pPr>
              <w:spacing w:after="0" w:line="240" w:lineRule="auto"/>
              <w:rPr>
                <w:rFonts w:ascii="Calibri" w:eastAsia="Times New Roman" w:hAnsi="Calibri" w:cs="Times New Roman"/>
                <w:b/>
                <w:bCs/>
                <w:color w:val="000000"/>
                <w:sz w:val="18"/>
                <w:szCs w:val="18"/>
              </w:rPr>
            </w:pPr>
            <w:r w:rsidRPr="008B579A">
              <w:rPr>
                <w:rFonts w:ascii="Calibri" w:eastAsia="Times New Roman" w:hAnsi="Calibri" w:cs="Times New Roman"/>
                <w:b/>
                <w:bCs/>
                <w:color w:val="000000"/>
                <w:sz w:val="18"/>
                <w:szCs w:val="18"/>
              </w:rPr>
              <w:t xml:space="preserve">  3,320,088,675.77 </w:t>
            </w:r>
          </w:p>
        </w:tc>
      </w:tr>
    </w:tbl>
    <w:p w:rsidR="002E5ABD" w:rsidRDefault="002E5ABD" w:rsidP="002E5ABD"/>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p>
    <w:p w:rsidR="002E5ABD" w:rsidRDefault="002E5ABD" w:rsidP="009A42D6">
      <w:pPr>
        <w:spacing w:line="360" w:lineRule="auto"/>
        <w:jc w:val="both"/>
      </w:pPr>
      <w:bookmarkStart w:id="2" w:name="_GoBack"/>
      <w:bookmarkEnd w:id="2"/>
    </w:p>
    <w:sectPr w:rsidR="002E5ABD" w:rsidSect="00DC24F2">
      <w:footerReference w:type="default" r:id="rId2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C32" w:rsidRDefault="00964C32" w:rsidP="003325DA">
      <w:pPr>
        <w:spacing w:after="0" w:line="240" w:lineRule="auto"/>
      </w:pPr>
      <w:r>
        <w:separator/>
      </w:r>
    </w:p>
  </w:endnote>
  <w:endnote w:type="continuationSeparator" w:id="0">
    <w:p w:rsidR="00964C32" w:rsidRDefault="00964C32" w:rsidP="0033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042659"/>
      <w:docPartObj>
        <w:docPartGallery w:val="Page Numbers (Bottom of Page)"/>
        <w:docPartUnique/>
      </w:docPartObj>
    </w:sdtPr>
    <w:sdtEndPr>
      <w:rPr>
        <w:noProof/>
      </w:rPr>
    </w:sdtEndPr>
    <w:sdtContent>
      <w:p w:rsidR="0050502D" w:rsidRDefault="0050502D">
        <w:pPr>
          <w:pStyle w:val="Footer"/>
          <w:jc w:val="center"/>
        </w:pPr>
        <w:r>
          <w:fldChar w:fldCharType="begin"/>
        </w:r>
        <w:r>
          <w:instrText xml:space="preserve"> PAGE   \* MERGEFORMAT </w:instrText>
        </w:r>
        <w:r>
          <w:fldChar w:fldCharType="separate"/>
        </w:r>
        <w:r w:rsidR="00EC5786">
          <w:rPr>
            <w:noProof/>
          </w:rPr>
          <w:t>56</w:t>
        </w:r>
        <w:r>
          <w:rPr>
            <w:noProof/>
          </w:rPr>
          <w:fldChar w:fldCharType="end"/>
        </w:r>
      </w:p>
    </w:sdtContent>
  </w:sdt>
  <w:p w:rsidR="0050502D" w:rsidRDefault="00505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C32" w:rsidRDefault="00964C32" w:rsidP="003325DA">
      <w:pPr>
        <w:spacing w:after="0" w:line="240" w:lineRule="auto"/>
      </w:pPr>
      <w:r>
        <w:separator/>
      </w:r>
    </w:p>
  </w:footnote>
  <w:footnote w:type="continuationSeparator" w:id="0">
    <w:p w:rsidR="00964C32" w:rsidRDefault="00964C32" w:rsidP="003325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317EB"/>
    <w:multiLevelType w:val="hybridMultilevel"/>
    <w:tmpl w:val="A69AEA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2E2FB9"/>
    <w:multiLevelType w:val="multilevel"/>
    <w:tmpl w:val="18108AE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1F4C62A2"/>
    <w:multiLevelType w:val="hybridMultilevel"/>
    <w:tmpl w:val="71BEFEBC"/>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2DD919D2"/>
    <w:multiLevelType w:val="multilevel"/>
    <w:tmpl w:val="6882E19A"/>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nsid w:val="6B0E3FB7"/>
    <w:multiLevelType w:val="hybridMultilevel"/>
    <w:tmpl w:val="14FC5034"/>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4F2"/>
    <w:rsid w:val="0004604A"/>
    <w:rsid w:val="000F2CBF"/>
    <w:rsid w:val="00130522"/>
    <w:rsid w:val="00170EAC"/>
    <w:rsid w:val="002930E2"/>
    <w:rsid w:val="002E5ABD"/>
    <w:rsid w:val="003325DA"/>
    <w:rsid w:val="003352C4"/>
    <w:rsid w:val="003A3415"/>
    <w:rsid w:val="003B2831"/>
    <w:rsid w:val="003C003D"/>
    <w:rsid w:val="003C5315"/>
    <w:rsid w:val="0050502D"/>
    <w:rsid w:val="00542748"/>
    <w:rsid w:val="00595ABD"/>
    <w:rsid w:val="005A6E10"/>
    <w:rsid w:val="005B20A7"/>
    <w:rsid w:val="006868F3"/>
    <w:rsid w:val="007B5718"/>
    <w:rsid w:val="007C4D56"/>
    <w:rsid w:val="0082780D"/>
    <w:rsid w:val="00866067"/>
    <w:rsid w:val="008777EC"/>
    <w:rsid w:val="008B746D"/>
    <w:rsid w:val="00964C32"/>
    <w:rsid w:val="009A42D6"/>
    <w:rsid w:val="009D3C7B"/>
    <w:rsid w:val="00A51B3C"/>
    <w:rsid w:val="00A81BEF"/>
    <w:rsid w:val="00B0342B"/>
    <w:rsid w:val="00BA5340"/>
    <w:rsid w:val="00BD07F4"/>
    <w:rsid w:val="00C7636C"/>
    <w:rsid w:val="00CC67A1"/>
    <w:rsid w:val="00D403D9"/>
    <w:rsid w:val="00D572D0"/>
    <w:rsid w:val="00D84669"/>
    <w:rsid w:val="00DC24F2"/>
    <w:rsid w:val="00DF5366"/>
    <w:rsid w:val="00E11C21"/>
    <w:rsid w:val="00E12761"/>
    <w:rsid w:val="00E962AA"/>
    <w:rsid w:val="00EA79BB"/>
    <w:rsid w:val="00EC5786"/>
    <w:rsid w:val="00FA7655"/>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3FACF-3A97-447F-9147-F33F2BF4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4F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24F2"/>
    <w:pPr>
      <w:spacing w:after="0" w:line="240" w:lineRule="auto"/>
    </w:pPr>
    <w:rPr>
      <w:rFonts w:ascii="Calibri" w:eastAsia="Calibri" w:hAnsi="Calibri" w:cs="Times New Roman"/>
      <w:lang w:val="en-CA"/>
    </w:rPr>
  </w:style>
  <w:style w:type="paragraph" w:styleId="ListParagraph">
    <w:name w:val="List Paragraph"/>
    <w:basedOn w:val="Normal"/>
    <w:uiPriority w:val="34"/>
    <w:qFormat/>
    <w:rsid w:val="00DC24F2"/>
    <w:pPr>
      <w:ind w:left="720"/>
      <w:contextualSpacing/>
    </w:pPr>
    <w:rPr>
      <w:lang w:val="en-CA"/>
    </w:rPr>
  </w:style>
  <w:style w:type="table" w:styleId="GridTable5Dark-Accent6">
    <w:name w:val="Grid Table 5 Dark Accent 6"/>
    <w:basedOn w:val="TableNormal"/>
    <w:uiPriority w:val="50"/>
    <w:rsid w:val="00DC24F2"/>
    <w:pPr>
      <w:spacing w:after="0" w:line="240" w:lineRule="auto"/>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Textbody">
    <w:name w:val="Text body"/>
    <w:basedOn w:val="Normal"/>
    <w:rsid w:val="00170EAC"/>
    <w:pPr>
      <w:widowControl w:val="0"/>
      <w:suppressAutoHyphens/>
      <w:autoSpaceDN w:val="0"/>
      <w:spacing w:after="120" w:line="240" w:lineRule="auto"/>
      <w:textAlignment w:val="baseline"/>
    </w:pPr>
    <w:rPr>
      <w:rFonts w:ascii="Times New Roman" w:eastAsia="SimSun" w:hAnsi="Times New Roman" w:cs="Mangal"/>
      <w:kern w:val="3"/>
      <w:sz w:val="24"/>
      <w:szCs w:val="24"/>
      <w:lang w:val="en-GB" w:eastAsia="zh-CN" w:bidi="hi-IN"/>
    </w:rPr>
  </w:style>
  <w:style w:type="paragraph" w:styleId="Header">
    <w:name w:val="header"/>
    <w:basedOn w:val="Normal"/>
    <w:link w:val="HeaderChar"/>
    <w:uiPriority w:val="99"/>
    <w:unhideWhenUsed/>
    <w:rsid w:val="00332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5DA"/>
  </w:style>
  <w:style w:type="paragraph" w:styleId="Footer">
    <w:name w:val="footer"/>
    <w:basedOn w:val="Normal"/>
    <w:link w:val="FooterChar"/>
    <w:uiPriority w:val="99"/>
    <w:unhideWhenUsed/>
    <w:rsid w:val="00332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5DA"/>
  </w:style>
  <w:style w:type="paragraph" w:styleId="BalloonText">
    <w:name w:val="Balloon Text"/>
    <w:basedOn w:val="Normal"/>
    <w:link w:val="BalloonTextChar"/>
    <w:uiPriority w:val="99"/>
    <w:semiHidden/>
    <w:unhideWhenUsed/>
    <w:rsid w:val="00332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ettings" Target="settings.xml"/><Relationship Id="rId21" Type="http://schemas.openxmlformats.org/officeDocument/2006/relationships/chart" Target="charts/chart14.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EPB\Desktop\First%20Quarter%202019\1st%20quarter%20workboo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PB\Desktop\First%20Quarter%202019\1st%20quarter%20workbook.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PB\Desktop\First%20Quarter%202019\1st%20quarter%20workboo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EPB\Desktop\First%20Quarter%202019\1st%20quarter%20workboo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EPB\Desktop\First%20Quarter%202019\1st%20quarter%20workboo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EPB\Desktop\First%20Quarter%202019\1st%20quarter%20workbook.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EPB\Desktop\2019%20FIRST%20QUARTER%20POSTED\FIRST%20QUARTER%20WORKBOO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2019 FIRST QUARTER REVENUE PERFORMANCE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solidFill>
            <a:schemeClr val="bg1"/>
          </a:solidFill>
        </a:ln>
        <a:effectLst/>
        <a:sp3d>
          <a:contourClr>
            <a:schemeClr val="bg1"/>
          </a:contourClr>
        </a:sp3d>
      </c:spPr>
    </c:sideWall>
    <c:backWall>
      <c:thickness val="0"/>
      <c:spPr>
        <a:noFill/>
        <a:ln>
          <a:solidFill>
            <a:schemeClr val="bg1"/>
          </a:solidFill>
        </a:ln>
        <a:effectLst/>
        <a:sp3d>
          <a:contourClr>
            <a:schemeClr val="bg1"/>
          </a:contourClr>
        </a:sp3d>
      </c:spPr>
    </c:backWall>
    <c:plotArea>
      <c:layout/>
      <c:bar3DChart>
        <c:barDir val="col"/>
        <c:grouping val="clustered"/>
        <c:varyColors val="0"/>
        <c:ser>
          <c:idx val="0"/>
          <c:order val="0"/>
          <c:tx>
            <c:strRef>
              <c:f>Sheet2!$C$2</c:f>
              <c:strCache>
                <c:ptCount val="1"/>
                <c:pt idx="0">
                  <c:v>1st Quarter Target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Sheet2!$C$3</c:f>
              <c:numCache>
                <c:formatCode>#,##0.000</c:formatCode>
                <c:ptCount val="1"/>
                <c:pt idx="0">
                  <c:v>48.475999999999999</c:v>
                </c:pt>
              </c:numCache>
            </c:numRef>
          </c:val>
        </c:ser>
        <c:ser>
          <c:idx val="1"/>
          <c:order val="1"/>
          <c:tx>
            <c:strRef>
              <c:f>Sheet2!$D$2</c:f>
              <c:strCache>
                <c:ptCount val="1"/>
                <c:pt idx="0">
                  <c:v>1st Quarter Actual</c:v>
                </c:pt>
              </c:strCache>
            </c:strRef>
          </c:tx>
          <c:spPr>
            <a:solidFill>
              <a:schemeClr val="bg1">
                <a:lumMod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Sheet2!$D$3</c:f>
              <c:numCache>
                <c:formatCode>_-* #,##0.000_-;\-* #,##0.000_-;_-* "-"??_-;_-@_-</c:formatCode>
                <c:ptCount val="1"/>
                <c:pt idx="0">
                  <c:v>23.722000000000001</c:v>
                </c:pt>
              </c:numCache>
            </c:numRef>
          </c:val>
        </c:ser>
        <c:dLbls>
          <c:showLegendKey val="0"/>
          <c:showVal val="1"/>
          <c:showCatName val="0"/>
          <c:showSerName val="0"/>
          <c:showPercent val="0"/>
          <c:showBubbleSize val="0"/>
        </c:dLbls>
        <c:gapWidth val="150"/>
        <c:shape val="box"/>
        <c:axId val="237426864"/>
        <c:axId val="237423728"/>
        <c:axId val="0"/>
      </c:bar3DChart>
      <c:catAx>
        <c:axId val="237426864"/>
        <c:scaling>
          <c:orientation val="minMax"/>
        </c:scaling>
        <c:delete val="1"/>
        <c:axPos val="b"/>
        <c:numFmt formatCode="General" sourceLinked="1"/>
        <c:majorTickMark val="none"/>
        <c:minorTickMark val="none"/>
        <c:tickLblPos val="nextTo"/>
        <c:crossAx val="237423728"/>
        <c:crosses val="autoZero"/>
        <c:auto val="1"/>
        <c:lblAlgn val="ctr"/>
        <c:lblOffset val="100"/>
        <c:noMultiLvlLbl val="0"/>
      </c:catAx>
      <c:valAx>
        <c:axId val="237423728"/>
        <c:scaling>
          <c:orientation val="minMax"/>
          <c:max val="50"/>
          <c:min val="0"/>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N'Billion</a:t>
                </a:r>
              </a:p>
            </c:rich>
          </c:tx>
          <c:overlay val="0"/>
          <c:spPr>
            <a:solidFill>
              <a:schemeClr val="accent2">
                <a:lumMod val="60000"/>
                <a:lumOff val="4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y-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7426864"/>
        <c:crosses val="autoZero"/>
        <c:crossBetween val="between"/>
      </c:valAx>
      <c:spPr>
        <a:solidFill>
          <a:schemeClr val="accent2">
            <a:lumMod val="60000"/>
            <a:lumOff val="4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cy-GB"/>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RECURRENT EXPENDITURE COMPONENTS PERFORMANCE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'GRAPHS &amp; CHARTS'!$D$19</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CHARTS'!$B$20:$B$25</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CHARTS'!$D$20:$D$25</c:f>
              <c:numCache>
                <c:formatCode>#,##0.00</c:formatCode>
                <c:ptCount val="6"/>
                <c:pt idx="0">
                  <c:v>9057883427.0400009</c:v>
                </c:pt>
                <c:pt idx="1">
                  <c:v>1128175000</c:v>
                </c:pt>
                <c:pt idx="2">
                  <c:v>4314244074</c:v>
                </c:pt>
                <c:pt idx="3">
                  <c:v>1890375000</c:v>
                </c:pt>
                <c:pt idx="4">
                  <c:v>4539862300</c:v>
                </c:pt>
                <c:pt idx="5">
                  <c:v>32500000</c:v>
                </c:pt>
              </c:numCache>
            </c:numRef>
          </c:val>
        </c:ser>
        <c:ser>
          <c:idx val="2"/>
          <c:order val="2"/>
          <c:tx>
            <c:strRef>
              <c:f>'GRAPHS &amp; CHARTS'!$E$19</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CHARTS'!$B$20:$B$25</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CHARTS'!$E$20:$E$25</c:f>
              <c:numCache>
                <c:formatCode>_(* #,##0.00_);_(* \(#,##0.00\);_(* "-"??_);_(@_)</c:formatCode>
                <c:ptCount val="6"/>
                <c:pt idx="0">
                  <c:v>8626169073.2799988</c:v>
                </c:pt>
                <c:pt idx="1">
                  <c:v>744477603</c:v>
                </c:pt>
                <c:pt idx="2">
                  <c:v>3018692545.8900003</c:v>
                </c:pt>
                <c:pt idx="3">
                  <c:v>1449291900</c:v>
                </c:pt>
                <c:pt idx="4">
                  <c:v>3679415545.8900003</c:v>
                </c:pt>
                <c:pt idx="5">
                  <c:v>18482800</c:v>
                </c:pt>
              </c:numCache>
            </c:numRef>
          </c:val>
        </c:ser>
        <c:dLbls>
          <c:showLegendKey val="0"/>
          <c:showVal val="0"/>
          <c:showCatName val="0"/>
          <c:showSerName val="0"/>
          <c:showPercent val="0"/>
          <c:showBubbleSize val="0"/>
        </c:dLbls>
        <c:gapWidth val="150"/>
        <c:shape val="box"/>
        <c:axId val="235762600"/>
        <c:axId val="235762992"/>
        <c:axId val="0"/>
        <c:extLst>
          <c:ext xmlns:c15="http://schemas.microsoft.com/office/drawing/2012/chart" uri="{02D57815-91ED-43cb-92C2-25804820EDAC}">
            <c15:filteredBarSeries>
              <c15:ser>
                <c:idx val="0"/>
                <c:order val="0"/>
                <c:tx>
                  <c:strRef>
                    <c:extLst>
                      <c:ext uri="{02D57815-91ED-43cb-92C2-25804820EDAC}">
                        <c15:formulaRef>
                          <c15:sqref>'GRAPHS &amp; CHARTS'!$C$19</c15:sqref>
                        </c15:formulaRef>
                      </c:ext>
                    </c:extLst>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extLst>
                      <c:ext uri="{02D57815-91ED-43cb-92C2-25804820EDAC}">
                        <c15:formulaRef>
                          <c15:sqref>'GRAPHS &amp; CHARTS'!$B$20:$B$25</c15:sqref>
                        </c15:formulaRef>
                      </c:ext>
                    </c:extLst>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extLst>
                      <c:ext uri="{02D57815-91ED-43cb-92C2-25804820EDAC}">
                        <c15:formulaRef>
                          <c15:sqref>'GRAPHS &amp; CHARTS'!$C$20:$C$25</c15:sqref>
                        </c15:formulaRef>
                      </c:ext>
                    </c:extLst>
                    <c:numCache>
                      <c:formatCode>_(* #,##0.00_);_(* \(#,##0.00\);_(* "-"??_);_(@_)</c:formatCode>
                      <c:ptCount val="6"/>
                      <c:pt idx="0">
                        <c:v>36231533708.160004</c:v>
                      </c:pt>
                      <c:pt idx="1">
                        <c:v>4512700000</c:v>
                      </c:pt>
                      <c:pt idx="2">
                        <c:v>17256976296</c:v>
                      </c:pt>
                      <c:pt idx="3">
                        <c:v>7561500000</c:v>
                      </c:pt>
                      <c:pt idx="4">
                        <c:v>18159449200</c:v>
                      </c:pt>
                      <c:pt idx="5">
                        <c:v>130000000</c:v>
                      </c:pt>
                    </c:numCache>
                  </c:numRef>
                </c:val>
              </c15:ser>
            </c15:filteredBarSeries>
          </c:ext>
        </c:extLst>
      </c:bar3DChart>
      <c:catAx>
        <c:axId val="2357626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62992"/>
        <c:crosses val="autoZero"/>
        <c:auto val="1"/>
        <c:lblAlgn val="ctr"/>
        <c:lblOffset val="100"/>
        <c:noMultiLvlLbl val="0"/>
      </c:catAx>
      <c:valAx>
        <c:axId val="235762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6260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cy-GB"/>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 OF FIRST QUARTER ACTUAL RECURRENT EXPENDITURE COMPONENTS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cy-GB"/>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3"/>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6249166007133871E-16"/>
                  <c:y val="0.3186486345941513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cy-GB"/>
                </a:p>
              </c:txPr>
              <c:dLblPos val="bestFit"/>
              <c:showLegendKey val="0"/>
              <c:showVal val="0"/>
              <c:showCatName val="1"/>
              <c:showSerName val="0"/>
              <c:showPercent val="1"/>
              <c:showBubbleSize val="0"/>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cy-GB"/>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cy-GB"/>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cy-GB"/>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7.5179657269209471E-2"/>
                  <c:y val="-3.065134099616859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cy-GB"/>
                </a:p>
              </c:txPr>
              <c:dLblPos val="bestFit"/>
              <c:showLegendKey val="0"/>
              <c:showVal val="0"/>
              <c:showCatName val="1"/>
              <c:showSerName val="0"/>
              <c:showPercent val="1"/>
              <c:showBubbleSize val="0"/>
              <c:extLst>
                <c:ext xmlns:c15="http://schemas.microsoft.com/office/drawing/2012/chart" uri="{CE6537A1-D6FC-4f65-9D91-7224C49458BB}"/>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cy-GB"/>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CHARTS'!$B$31:$B$36</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CHARTS'!$C$31:$C$36</c:f>
              <c:numCache>
                <c:formatCode>_(* #,##0.00_);_(* \(#,##0.00\);_(* "-"??_);_(@_)</c:formatCode>
                <c:ptCount val="6"/>
                <c:pt idx="0">
                  <c:v>8626169073.2799988</c:v>
                </c:pt>
                <c:pt idx="1">
                  <c:v>744477603</c:v>
                </c:pt>
                <c:pt idx="2">
                  <c:v>3018692545.8900003</c:v>
                </c:pt>
                <c:pt idx="3">
                  <c:v>1449291900</c:v>
                </c:pt>
                <c:pt idx="4">
                  <c:v>3679415545.8900003</c:v>
                </c:pt>
                <c:pt idx="5">
                  <c:v>18482800</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accent2">
          <a:lumMod val="75000"/>
        </a:schemeClr>
      </a:solidFill>
      <a:round/>
    </a:ln>
    <a:effectLst/>
  </c:spPr>
  <c:txPr>
    <a:bodyPr/>
    <a:lstStyle/>
    <a:p>
      <a:pPr>
        <a:defRPr/>
      </a:pPr>
      <a:endParaRPr lang="cy-GB"/>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PERSONNEL COST</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'GRAPHS &amp; CHARTS'!$D$19</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CHARTS'!$B$20</c:f>
              <c:strCache>
                <c:ptCount val="1"/>
                <c:pt idx="0">
                  <c:v>PERSONNEL COST</c:v>
                </c:pt>
              </c:strCache>
            </c:strRef>
          </c:cat>
          <c:val>
            <c:numRef>
              <c:extLst>
                <c:ext xmlns:c15="http://schemas.microsoft.com/office/drawing/2012/chart" uri="{02D57815-91ED-43cb-92C2-25804820EDAC}">
                  <c15:fullRef>
                    <c15:sqref>'GRAPHS &amp; CHARTS'!$D$20:$D$25</c15:sqref>
                  </c15:fullRef>
                </c:ext>
              </c:extLst>
              <c:f>'GRAPHS &amp; CHARTS'!$D$20</c:f>
              <c:numCache>
                <c:formatCode>#,##0.00</c:formatCode>
                <c:ptCount val="1"/>
                <c:pt idx="0">
                  <c:v>9057883427.0400009</c:v>
                </c:pt>
              </c:numCache>
            </c:numRef>
          </c:val>
        </c:ser>
        <c:ser>
          <c:idx val="2"/>
          <c:order val="2"/>
          <c:tx>
            <c:strRef>
              <c:f>'GRAPHS &amp; CHARTS'!$E$19</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CHARTS'!$B$20</c:f>
              <c:strCache>
                <c:ptCount val="1"/>
                <c:pt idx="0">
                  <c:v>PERSONNEL COST</c:v>
                </c:pt>
              </c:strCache>
            </c:strRef>
          </c:cat>
          <c:val>
            <c:numRef>
              <c:extLst>
                <c:ext xmlns:c15="http://schemas.microsoft.com/office/drawing/2012/chart" uri="{02D57815-91ED-43cb-92C2-25804820EDAC}">
                  <c15:fullRef>
                    <c15:sqref>'GRAPHS &amp; CHARTS'!$E$20:$E$25</c15:sqref>
                  </c15:fullRef>
                </c:ext>
              </c:extLst>
              <c:f>'GRAPHS &amp; CHARTS'!$E$20</c:f>
              <c:numCache>
                <c:formatCode>_(* #,##0.00_);_(* \(#,##0.00\);_(* "-"??_);_(@_)</c:formatCode>
                <c:ptCount val="1"/>
                <c:pt idx="0">
                  <c:v>8626169073.2799988</c:v>
                </c:pt>
              </c:numCache>
            </c:numRef>
          </c:val>
        </c:ser>
        <c:dLbls>
          <c:showLegendKey val="0"/>
          <c:showVal val="1"/>
          <c:showCatName val="0"/>
          <c:showSerName val="0"/>
          <c:showPercent val="0"/>
          <c:showBubbleSize val="0"/>
        </c:dLbls>
        <c:gapWidth val="150"/>
        <c:shape val="box"/>
        <c:axId val="235764168"/>
        <c:axId val="235765344"/>
        <c:axId val="0"/>
        <c:extLst>
          <c:ext xmlns:c15="http://schemas.microsoft.com/office/drawing/2012/chart" uri="{02D57815-91ED-43cb-92C2-25804820EDAC}">
            <c15:filteredBarSeries>
              <c15:ser>
                <c:idx val="0"/>
                <c:order val="0"/>
                <c:tx>
                  <c:strRef>
                    <c:extLst>
                      <c:ext uri="{02D57815-91ED-43cb-92C2-25804820EDAC}">
                        <c15:formulaRef>
                          <c15:sqref>'GRAPHS &amp; CHARTS'!$C$19</c15:sqref>
                        </c15:formulaRef>
                      </c:ext>
                    </c:extLst>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'GRAPHS &amp; CHARTS'!$B$20:$B$25</c15:sqref>
                        </c15:fullRef>
                        <c15:formulaRef>
                          <c15:sqref>'GRAPHS &amp; CHARTS'!$B$20</c15:sqref>
                        </c15:formulaRef>
                      </c:ext>
                    </c:extLst>
                    <c:strCache>
                      <c:ptCount val="1"/>
                      <c:pt idx="0">
                        <c:v>PERSONNEL COST</c:v>
                      </c:pt>
                    </c:strCache>
                  </c:strRef>
                </c:cat>
                <c:val>
                  <c:numRef>
                    <c:extLst>
                      <c:ext uri="{02D57815-91ED-43cb-92C2-25804820EDAC}">
                        <c15:fullRef>
                          <c15:sqref>'GRAPHS &amp; CHARTS'!$C$20:$C$25</c15:sqref>
                        </c15:fullRef>
                        <c15:formulaRef>
                          <c15:sqref>'GRAPHS &amp; CHARTS'!$C$20</c15:sqref>
                        </c15:formulaRef>
                      </c:ext>
                    </c:extLst>
                    <c:numCache>
                      <c:formatCode>_(* #,##0.00_);_(* \(#,##0.00\);_(* "-"??_);_(@_)</c:formatCode>
                      <c:ptCount val="1"/>
                      <c:pt idx="0">
                        <c:v>36231533708.160004</c:v>
                      </c:pt>
                    </c:numCache>
                  </c:numRef>
                </c:val>
              </c15:ser>
            </c15:filteredBarSeries>
          </c:ext>
        </c:extLst>
      </c:bar3DChart>
      <c:catAx>
        <c:axId val="235764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65344"/>
        <c:crosses val="autoZero"/>
        <c:auto val="1"/>
        <c:lblAlgn val="ctr"/>
        <c:lblOffset val="100"/>
        <c:noMultiLvlLbl val="0"/>
      </c:catAx>
      <c:valAx>
        <c:axId val="235765344"/>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6416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cy-GB"/>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OVERHEAD COST</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'GRAPHS &amp; CHARTS'!$D$19</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CHARTS'!$B$21</c:f>
              <c:strCache>
                <c:ptCount val="1"/>
                <c:pt idx="0">
                  <c:v>OVERHEAD COST</c:v>
                </c:pt>
              </c:strCache>
            </c:strRef>
          </c:cat>
          <c:val>
            <c:numRef>
              <c:extLst>
                <c:ext xmlns:c15="http://schemas.microsoft.com/office/drawing/2012/chart" uri="{02D57815-91ED-43cb-92C2-25804820EDAC}">
                  <c15:fullRef>
                    <c15:sqref>'GRAPHS &amp; CHARTS'!$D$20:$D$25</c15:sqref>
                  </c15:fullRef>
                </c:ext>
              </c:extLst>
              <c:f>'GRAPHS &amp; CHARTS'!$D$21</c:f>
              <c:numCache>
                <c:formatCode>#,##0.00</c:formatCode>
                <c:ptCount val="1"/>
                <c:pt idx="0">
                  <c:v>1128175000</c:v>
                </c:pt>
              </c:numCache>
            </c:numRef>
          </c:val>
        </c:ser>
        <c:ser>
          <c:idx val="2"/>
          <c:order val="2"/>
          <c:tx>
            <c:strRef>
              <c:f>'GRAPHS &amp; CHARTS'!$E$19</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CHARTS'!$B$21</c:f>
              <c:strCache>
                <c:ptCount val="1"/>
                <c:pt idx="0">
                  <c:v>OVERHEAD COST</c:v>
                </c:pt>
              </c:strCache>
            </c:strRef>
          </c:cat>
          <c:val>
            <c:numRef>
              <c:extLst>
                <c:ext xmlns:c15="http://schemas.microsoft.com/office/drawing/2012/chart" uri="{02D57815-91ED-43cb-92C2-25804820EDAC}">
                  <c15:fullRef>
                    <c15:sqref>'GRAPHS &amp; CHARTS'!$E$20:$E$25</c15:sqref>
                  </c15:fullRef>
                </c:ext>
              </c:extLst>
              <c:f>'GRAPHS &amp; CHARTS'!$E$21</c:f>
              <c:numCache>
                <c:formatCode>_(* #,##0.00_);_(* \(#,##0.00\);_(* "-"??_);_(@_)</c:formatCode>
                <c:ptCount val="1"/>
                <c:pt idx="0">
                  <c:v>744477603</c:v>
                </c:pt>
              </c:numCache>
            </c:numRef>
          </c:val>
        </c:ser>
        <c:dLbls>
          <c:showLegendKey val="0"/>
          <c:showVal val="1"/>
          <c:showCatName val="0"/>
          <c:showSerName val="0"/>
          <c:showPercent val="0"/>
          <c:showBubbleSize val="0"/>
        </c:dLbls>
        <c:gapWidth val="150"/>
        <c:shape val="box"/>
        <c:axId val="207093384"/>
        <c:axId val="207092208"/>
        <c:axId val="0"/>
        <c:extLst>
          <c:ext xmlns:c15="http://schemas.microsoft.com/office/drawing/2012/chart" uri="{02D57815-91ED-43cb-92C2-25804820EDAC}">
            <c15:filteredBarSeries>
              <c15:ser>
                <c:idx val="0"/>
                <c:order val="0"/>
                <c:tx>
                  <c:strRef>
                    <c:extLst>
                      <c:ext uri="{02D57815-91ED-43cb-92C2-25804820EDAC}">
                        <c15:formulaRef>
                          <c15:sqref>'GRAPHS &amp; CHARTS'!$C$19</c15:sqref>
                        </c15:formulaRef>
                      </c:ext>
                    </c:extLst>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'GRAPHS &amp; CHARTS'!$B$20:$B$25</c15:sqref>
                        </c15:fullRef>
                        <c15:formulaRef>
                          <c15:sqref>'GRAPHS &amp; CHARTS'!$B$21</c15:sqref>
                        </c15:formulaRef>
                      </c:ext>
                    </c:extLst>
                    <c:strCache>
                      <c:ptCount val="1"/>
                      <c:pt idx="0">
                        <c:v>OVERHEAD COST</c:v>
                      </c:pt>
                    </c:strCache>
                  </c:strRef>
                </c:cat>
                <c:val>
                  <c:numRef>
                    <c:extLst>
                      <c:ext uri="{02D57815-91ED-43cb-92C2-25804820EDAC}">
                        <c15:fullRef>
                          <c15:sqref>'GRAPHS &amp; CHARTS'!$C$20:$C$25</c15:sqref>
                        </c15:fullRef>
                        <c15:formulaRef>
                          <c15:sqref>'GRAPHS &amp; CHARTS'!$C$21</c15:sqref>
                        </c15:formulaRef>
                      </c:ext>
                    </c:extLst>
                    <c:numCache>
                      <c:formatCode>_(* #,##0.00_);_(* \(#,##0.00\);_(* "-"??_);_(@_)</c:formatCode>
                      <c:ptCount val="1"/>
                      <c:pt idx="0">
                        <c:v>4512700000</c:v>
                      </c:pt>
                    </c:numCache>
                  </c:numRef>
                </c:val>
              </c15:ser>
            </c15:filteredBarSeries>
          </c:ext>
        </c:extLst>
      </c:bar3DChart>
      <c:catAx>
        <c:axId val="2070933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092208"/>
        <c:crosses val="autoZero"/>
        <c:auto val="1"/>
        <c:lblAlgn val="ctr"/>
        <c:lblOffset val="100"/>
        <c:noMultiLvlLbl val="0"/>
      </c:catAx>
      <c:valAx>
        <c:axId val="207092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093384"/>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cy-GB"/>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SPECIAL PROGRAMME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'GRAPHS &amp; CHARTS'!$D$19</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CHARTS'!$B$22</c:f>
              <c:strCache>
                <c:ptCount val="1"/>
                <c:pt idx="0">
                  <c:v>SPECIAL PROGRAMME </c:v>
                </c:pt>
              </c:strCache>
            </c:strRef>
          </c:cat>
          <c:val>
            <c:numRef>
              <c:extLst>
                <c:ext xmlns:c15="http://schemas.microsoft.com/office/drawing/2012/chart" uri="{02D57815-91ED-43cb-92C2-25804820EDAC}">
                  <c15:fullRef>
                    <c15:sqref>'GRAPHS &amp; CHARTS'!$D$20:$D$25</c15:sqref>
                  </c15:fullRef>
                </c:ext>
              </c:extLst>
              <c:f>'GRAPHS &amp; CHARTS'!$D$22</c:f>
              <c:numCache>
                <c:formatCode>#,##0.00</c:formatCode>
                <c:ptCount val="1"/>
                <c:pt idx="0">
                  <c:v>4314244074</c:v>
                </c:pt>
              </c:numCache>
            </c:numRef>
          </c:val>
        </c:ser>
        <c:ser>
          <c:idx val="2"/>
          <c:order val="2"/>
          <c:tx>
            <c:strRef>
              <c:f>'GRAPHS &amp; CHARTS'!$E$19</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CHARTS'!$B$22</c:f>
              <c:strCache>
                <c:ptCount val="1"/>
                <c:pt idx="0">
                  <c:v>SPECIAL PROGRAMME </c:v>
                </c:pt>
              </c:strCache>
            </c:strRef>
          </c:cat>
          <c:val>
            <c:numRef>
              <c:extLst>
                <c:ext xmlns:c15="http://schemas.microsoft.com/office/drawing/2012/chart" uri="{02D57815-91ED-43cb-92C2-25804820EDAC}">
                  <c15:fullRef>
                    <c15:sqref>'GRAPHS &amp; CHARTS'!$E$20:$E$25</c15:sqref>
                  </c15:fullRef>
                </c:ext>
              </c:extLst>
              <c:f>'GRAPHS &amp; CHARTS'!$E$22</c:f>
              <c:numCache>
                <c:formatCode>_(* #,##0.00_);_(* \(#,##0.00\);_(* "-"??_);_(@_)</c:formatCode>
                <c:ptCount val="1"/>
                <c:pt idx="0">
                  <c:v>3018692545.8900003</c:v>
                </c:pt>
              </c:numCache>
            </c:numRef>
          </c:val>
        </c:ser>
        <c:dLbls>
          <c:showLegendKey val="0"/>
          <c:showVal val="1"/>
          <c:showCatName val="0"/>
          <c:showSerName val="0"/>
          <c:showPercent val="0"/>
          <c:showBubbleSize val="0"/>
        </c:dLbls>
        <c:gapWidth val="150"/>
        <c:shape val="box"/>
        <c:axId val="207092992"/>
        <c:axId val="207091816"/>
        <c:axId val="0"/>
        <c:extLst>
          <c:ext xmlns:c15="http://schemas.microsoft.com/office/drawing/2012/chart" uri="{02D57815-91ED-43cb-92C2-25804820EDAC}">
            <c15:filteredBarSeries>
              <c15:ser>
                <c:idx val="0"/>
                <c:order val="0"/>
                <c:tx>
                  <c:strRef>
                    <c:extLst>
                      <c:ext uri="{02D57815-91ED-43cb-92C2-25804820EDAC}">
                        <c15:formulaRef>
                          <c15:sqref>'GRAPHS &amp; CHARTS'!$C$19</c15:sqref>
                        </c15:formulaRef>
                      </c:ext>
                    </c:extLst>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'GRAPHS &amp; CHARTS'!$B$20:$B$25</c15:sqref>
                        </c15:fullRef>
                        <c15:formulaRef>
                          <c15:sqref>'GRAPHS &amp; CHARTS'!$B$22</c15:sqref>
                        </c15:formulaRef>
                      </c:ext>
                    </c:extLst>
                    <c:strCache>
                      <c:ptCount val="1"/>
                      <c:pt idx="0">
                        <c:v>SPECIAL PROGRAMME </c:v>
                      </c:pt>
                    </c:strCache>
                  </c:strRef>
                </c:cat>
                <c:val>
                  <c:numRef>
                    <c:extLst>
                      <c:ext uri="{02D57815-91ED-43cb-92C2-25804820EDAC}">
                        <c15:fullRef>
                          <c15:sqref>'GRAPHS &amp; CHARTS'!$C$20:$C$25</c15:sqref>
                        </c15:fullRef>
                        <c15:formulaRef>
                          <c15:sqref>'GRAPHS &amp; CHARTS'!$C$22</c15:sqref>
                        </c15:formulaRef>
                      </c:ext>
                    </c:extLst>
                    <c:numCache>
                      <c:formatCode>_(* #,##0.00_);_(* \(#,##0.00\);_(* "-"??_);_(@_)</c:formatCode>
                      <c:ptCount val="1"/>
                      <c:pt idx="0">
                        <c:v>17256976296</c:v>
                      </c:pt>
                    </c:numCache>
                  </c:numRef>
                </c:val>
              </c15:ser>
            </c15:filteredBarSeries>
          </c:ext>
        </c:extLst>
      </c:bar3DChart>
      <c:catAx>
        <c:axId val="2070929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091816"/>
        <c:crosses val="autoZero"/>
        <c:auto val="1"/>
        <c:lblAlgn val="ctr"/>
        <c:lblOffset val="100"/>
        <c:noMultiLvlLbl val="0"/>
      </c:catAx>
      <c:valAx>
        <c:axId val="207091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092992"/>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cy-GB"/>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 QUARTER SUBVENTION PERFORMANCE LEVEL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3"/>
          <c:order val="3"/>
          <c:tx>
            <c:strRef>
              <c:f>'GRAPHS &amp; CHARTS'!$F$57</c:f>
              <c:strCache>
                <c:ptCount val="1"/>
                <c:pt idx="0">
                  <c:v>PERFORMANCE LEVEL (%)</c:v>
                </c:pt>
              </c:strCache>
            </c:strRef>
          </c:tx>
          <c:spPr>
            <a:gradFill rotWithShape="1">
              <a:gsLst>
                <a:gs pos="0">
                  <a:schemeClr val="accent5">
                    <a:tint val="58000"/>
                    <a:satMod val="103000"/>
                    <a:lumMod val="102000"/>
                    <a:tint val="94000"/>
                  </a:schemeClr>
                </a:gs>
                <a:gs pos="50000">
                  <a:schemeClr val="accent5">
                    <a:tint val="58000"/>
                    <a:satMod val="110000"/>
                    <a:lumMod val="100000"/>
                    <a:shade val="100000"/>
                  </a:schemeClr>
                </a:gs>
                <a:gs pos="100000">
                  <a:schemeClr val="accent5">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CHARTS'!$B$58:$B$71</c:f>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University of Medical Sciences Teaching Hospital</c:v>
                </c:pt>
              </c:strCache>
            </c:strRef>
          </c:cat>
          <c:val>
            <c:numRef>
              <c:f>'GRAPHS &amp; CHARTS'!$F$58:$F$71</c:f>
              <c:numCache>
                <c:formatCode>0.0</c:formatCode>
                <c:ptCount val="14"/>
                <c:pt idx="0">
                  <c:v>93.848580441640379</c:v>
                </c:pt>
                <c:pt idx="1">
                  <c:v>69.72</c:v>
                </c:pt>
                <c:pt idx="2">
                  <c:v>84</c:v>
                </c:pt>
                <c:pt idx="3">
                  <c:v>55.994399999999999</c:v>
                </c:pt>
                <c:pt idx="4">
                  <c:v>0</c:v>
                </c:pt>
                <c:pt idx="5">
                  <c:v>83.07692307692308</c:v>
                </c:pt>
                <c:pt idx="6">
                  <c:v>74.79224376731301</c:v>
                </c:pt>
                <c:pt idx="7">
                  <c:v>63</c:v>
                </c:pt>
                <c:pt idx="8">
                  <c:v>88.672444444444437</c:v>
                </c:pt>
                <c:pt idx="9">
                  <c:v>84</c:v>
                </c:pt>
                <c:pt idx="10">
                  <c:v>0</c:v>
                </c:pt>
                <c:pt idx="11">
                  <c:v>0</c:v>
                </c:pt>
                <c:pt idx="12">
                  <c:v>0</c:v>
                </c:pt>
                <c:pt idx="13">
                  <c:v>0</c:v>
                </c:pt>
              </c:numCache>
            </c:numRef>
          </c:val>
        </c:ser>
        <c:dLbls>
          <c:showLegendKey val="0"/>
          <c:showVal val="1"/>
          <c:showCatName val="0"/>
          <c:showSerName val="0"/>
          <c:showPercent val="0"/>
          <c:showBubbleSize val="0"/>
        </c:dLbls>
        <c:gapWidth val="150"/>
        <c:shape val="box"/>
        <c:axId val="207094560"/>
        <c:axId val="352694784"/>
        <c:axId val="0"/>
        <c:extLst>
          <c:ext xmlns:c15="http://schemas.microsoft.com/office/drawing/2012/chart" uri="{02D57815-91ED-43cb-92C2-25804820EDAC}">
            <c15:filteredBarSeries>
              <c15:ser>
                <c:idx val="0"/>
                <c:order val="0"/>
                <c:tx>
                  <c:strRef>
                    <c:extLst>
                      <c:ext uri="{02D57815-91ED-43cb-92C2-25804820EDAC}">
                        <c15:formulaRef>
                          <c15:sqref>'GRAPHS &amp; CHARTS'!$C$57</c15:sqref>
                        </c15:formulaRef>
                      </c:ext>
                    </c:extLst>
                    <c:strCache>
                      <c:ptCount val="1"/>
                      <c:pt idx="0">
                        <c:v>APPROVED BUDGET</c:v>
                      </c:pt>
                    </c:strCache>
                  </c:strRef>
                </c:tx>
                <c:spPr>
                  <a:gradFill rotWithShape="1">
                    <a:gsLst>
                      <a:gs pos="0">
                        <a:schemeClr val="accent5">
                          <a:shade val="58000"/>
                          <a:satMod val="103000"/>
                          <a:lumMod val="102000"/>
                          <a:tint val="94000"/>
                        </a:schemeClr>
                      </a:gs>
                      <a:gs pos="50000">
                        <a:schemeClr val="accent5">
                          <a:shade val="58000"/>
                          <a:satMod val="110000"/>
                          <a:lumMod val="100000"/>
                          <a:shade val="100000"/>
                        </a:schemeClr>
                      </a:gs>
                      <a:gs pos="100000">
                        <a:schemeClr val="accent5">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'GRAPHS &amp; CHARTS'!$B$58:$B$71</c15:sqref>
                        </c15:formulaRef>
                      </c:ext>
                    </c:extLst>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University of Medical Sciences Teaching Hospital</c:v>
                      </c:pt>
                    </c:strCache>
                  </c:strRef>
                </c:cat>
                <c:val>
                  <c:numRef>
                    <c:extLst>
                      <c:ext uri="{02D57815-91ED-43cb-92C2-25804820EDAC}">
                        <c15:formulaRef>
                          <c15:sqref>'GRAPHS &amp; CHARTS'!$C$58:$C$71</c15:sqref>
                        </c15:formulaRef>
                      </c:ext>
                    </c:extLst>
                    <c:numCache>
                      <c:formatCode>#,##0.00</c:formatCode>
                      <c:ptCount val="14"/>
                      <c:pt idx="0">
                        <c:v>1902000000</c:v>
                      </c:pt>
                      <c:pt idx="1">
                        <c:v>2000000</c:v>
                      </c:pt>
                      <c:pt idx="2">
                        <c:v>3000000</c:v>
                      </c:pt>
                      <c:pt idx="3">
                        <c:v>50000000</c:v>
                      </c:pt>
                      <c:pt idx="4">
                        <c:v>60000000</c:v>
                      </c:pt>
                      <c:pt idx="5">
                        <c:v>650000000</c:v>
                      </c:pt>
                      <c:pt idx="6">
                        <c:v>722000000</c:v>
                      </c:pt>
                      <c:pt idx="7">
                        <c:v>800000000</c:v>
                      </c:pt>
                      <c:pt idx="8">
                        <c:v>2700000000</c:v>
                      </c:pt>
                      <c:pt idx="9">
                        <c:v>2500000</c:v>
                      </c:pt>
                      <c:pt idx="10">
                        <c:v>200000000</c:v>
                      </c:pt>
                      <c:pt idx="11">
                        <c:v>60000000</c:v>
                      </c:pt>
                      <c:pt idx="12">
                        <c:v>10000000</c:v>
                      </c:pt>
                      <c:pt idx="13">
                        <c:v>400000000</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'GRAPHS &amp; CHARTS'!$D$57</c15:sqref>
                        </c15:formulaRef>
                      </c:ext>
                    </c:extLst>
                    <c:strCache>
                      <c:ptCount val="1"/>
                      <c:pt idx="0">
                        <c:v>FIRST QUARTER ESTIMATES</c:v>
                      </c:pt>
                    </c:strCache>
                  </c:strRef>
                </c:tx>
                <c:spPr>
                  <a:gradFill rotWithShape="1">
                    <a:gsLst>
                      <a:gs pos="0">
                        <a:schemeClr val="accent5">
                          <a:shade val="86000"/>
                          <a:satMod val="103000"/>
                          <a:lumMod val="102000"/>
                          <a:tint val="94000"/>
                        </a:schemeClr>
                      </a:gs>
                      <a:gs pos="50000">
                        <a:schemeClr val="accent5">
                          <a:shade val="86000"/>
                          <a:satMod val="110000"/>
                          <a:lumMod val="100000"/>
                          <a:shade val="100000"/>
                        </a:schemeClr>
                      </a:gs>
                      <a:gs pos="100000">
                        <a:schemeClr val="accent5">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'GRAPHS &amp; CHARTS'!$B$58:$B$71</c15:sqref>
                        </c15:formulaRef>
                      </c:ext>
                    </c:extLst>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University of Medical Sciences Teaching Hospital</c:v>
                      </c:pt>
                    </c:strCache>
                  </c:strRef>
                </c:cat>
                <c:val>
                  <c:numRef>
                    <c:extLst xmlns:c15="http://schemas.microsoft.com/office/drawing/2012/chart">
                      <c:ext xmlns:c15="http://schemas.microsoft.com/office/drawing/2012/chart" uri="{02D57815-91ED-43cb-92C2-25804820EDAC}">
                        <c15:formulaRef>
                          <c15:sqref>'GRAPHS &amp; CHARTS'!$D$58:$D$71</c15:sqref>
                        </c15:formulaRef>
                      </c:ext>
                    </c:extLst>
                    <c:numCache>
                      <c:formatCode>#,##0.00</c:formatCode>
                      <c:ptCount val="14"/>
                      <c:pt idx="0">
                        <c:v>475500000</c:v>
                      </c:pt>
                      <c:pt idx="1">
                        <c:v>500000</c:v>
                      </c:pt>
                      <c:pt idx="2">
                        <c:v>750000</c:v>
                      </c:pt>
                      <c:pt idx="3">
                        <c:v>12500000</c:v>
                      </c:pt>
                      <c:pt idx="4">
                        <c:v>15000000</c:v>
                      </c:pt>
                      <c:pt idx="5">
                        <c:v>162500000</c:v>
                      </c:pt>
                      <c:pt idx="6">
                        <c:v>180500000</c:v>
                      </c:pt>
                      <c:pt idx="7">
                        <c:v>200000000</c:v>
                      </c:pt>
                      <c:pt idx="8">
                        <c:v>675000000</c:v>
                      </c:pt>
                      <c:pt idx="9">
                        <c:v>625000</c:v>
                      </c:pt>
                      <c:pt idx="10">
                        <c:v>50000000</c:v>
                      </c:pt>
                      <c:pt idx="11">
                        <c:v>15000000</c:v>
                      </c:pt>
                      <c:pt idx="12">
                        <c:v>2500000</c:v>
                      </c:pt>
                      <c:pt idx="13">
                        <c:v>100000000</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'GRAPHS &amp; CHARTS'!$E$57</c15:sqref>
                        </c15:formulaRef>
                      </c:ext>
                    </c:extLst>
                    <c:strCache>
                      <c:ptCount val="1"/>
                      <c:pt idx="0">
                        <c:v>FIRST QUARTER ACTUAL</c:v>
                      </c:pt>
                    </c:strCache>
                  </c:strRef>
                </c:tx>
                <c:spPr>
                  <a:gradFill rotWithShape="1">
                    <a:gsLst>
                      <a:gs pos="0">
                        <a:schemeClr val="accent5">
                          <a:tint val="86000"/>
                          <a:satMod val="103000"/>
                          <a:lumMod val="102000"/>
                          <a:tint val="94000"/>
                        </a:schemeClr>
                      </a:gs>
                      <a:gs pos="50000">
                        <a:schemeClr val="accent5">
                          <a:tint val="86000"/>
                          <a:satMod val="110000"/>
                          <a:lumMod val="100000"/>
                          <a:shade val="100000"/>
                        </a:schemeClr>
                      </a:gs>
                      <a:gs pos="100000">
                        <a:schemeClr val="accent5">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'GRAPHS &amp; CHARTS'!$B$58:$B$71</c15:sqref>
                        </c15:formulaRef>
                      </c:ext>
                    </c:extLst>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University of Medical Sciences Teaching Hospital</c:v>
                      </c:pt>
                    </c:strCache>
                  </c:strRef>
                </c:cat>
                <c:val>
                  <c:numRef>
                    <c:extLst xmlns:c15="http://schemas.microsoft.com/office/drawing/2012/chart">
                      <c:ext xmlns:c15="http://schemas.microsoft.com/office/drawing/2012/chart" uri="{02D57815-91ED-43cb-92C2-25804820EDAC}">
                        <c15:formulaRef>
                          <c15:sqref>'GRAPHS &amp; CHARTS'!$E$58:$E$71</c15:sqref>
                        </c15:formulaRef>
                      </c:ext>
                    </c:extLst>
                    <c:numCache>
                      <c:formatCode>_(* #,##0.00_);_(* \(#,##0.00\);_(* "-"??_);_(@_)</c:formatCode>
                      <c:ptCount val="14"/>
                      <c:pt idx="0">
                        <c:v>446250000</c:v>
                      </c:pt>
                      <c:pt idx="1">
                        <c:v>348600</c:v>
                      </c:pt>
                      <c:pt idx="2">
                        <c:v>630000</c:v>
                      </c:pt>
                      <c:pt idx="3">
                        <c:v>6999300</c:v>
                      </c:pt>
                      <c:pt idx="4" formatCode="_-* #,##0.0_-;\-* #,##0.0_-;_-* &quot;-&quot;??_-;_-@_-">
                        <c:v>0</c:v>
                      </c:pt>
                      <c:pt idx="5">
                        <c:v>135000000</c:v>
                      </c:pt>
                      <c:pt idx="6">
                        <c:v>135000000</c:v>
                      </c:pt>
                      <c:pt idx="7">
                        <c:v>126000000</c:v>
                      </c:pt>
                      <c:pt idx="8">
                        <c:v>598539000</c:v>
                      </c:pt>
                      <c:pt idx="9">
                        <c:v>525000</c:v>
                      </c:pt>
                      <c:pt idx="10" formatCode="_-* #,##0.0_-;\-* #,##0.0_-;_-* &quot;-&quot;??_-;_-@_-">
                        <c:v>0</c:v>
                      </c:pt>
                      <c:pt idx="11" formatCode="_-* #,##0.0_-;\-* #,##0.0_-;_-* &quot;-&quot;??_-;_-@_-">
                        <c:v>0</c:v>
                      </c:pt>
                      <c:pt idx="12" formatCode="_-* #,##0.0_-;\-* #,##0.0_-;_-* &quot;-&quot;??_-;_-@_-">
                        <c:v>0</c:v>
                      </c:pt>
                      <c:pt idx="13" formatCode="_-* #,##0.0_-;\-* #,##0.0_-;_-* &quot;-&quot;??_-;_-@_-">
                        <c:v>0</c:v>
                      </c:pt>
                    </c:numCache>
                  </c:numRef>
                </c:val>
              </c15:ser>
            </c15:filteredBarSeries>
          </c:ext>
        </c:extLst>
      </c:bar3DChart>
      <c:catAx>
        <c:axId val="207094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94784"/>
        <c:crosses val="autoZero"/>
        <c:auto val="1"/>
        <c:lblAlgn val="ctr"/>
        <c:lblOffset val="100"/>
        <c:noMultiLvlLbl val="0"/>
      </c:catAx>
      <c:valAx>
        <c:axId val="352694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09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50000"/>
        </a:schemeClr>
      </a:solidFill>
      <a:round/>
    </a:ln>
    <a:effectLst/>
  </c:spPr>
  <c:txPr>
    <a:bodyPr/>
    <a:lstStyle/>
    <a:p>
      <a:pPr>
        <a:defRPr/>
      </a:pPr>
      <a:endParaRPr lang="cy-GB"/>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CRFC DETAILS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'GRAPHS &amp; CHARTS'!$D$40</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CHARTS'!$B$41:$B$46</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CHARTS'!$D$41:$D$46</c:f>
              <c:numCache>
                <c:formatCode>#,##0.00</c:formatCode>
                <c:ptCount val="6"/>
                <c:pt idx="0">
                  <c:v>1413793332.5</c:v>
                </c:pt>
                <c:pt idx="1">
                  <c:v>250000000</c:v>
                </c:pt>
                <c:pt idx="2">
                  <c:v>700000000</c:v>
                </c:pt>
                <c:pt idx="3">
                  <c:v>1312750767.5</c:v>
                </c:pt>
                <c:pt idx="4">
                  <c:v>857068200</c:v>
                </c:pt>
                <c:pt idx="5">
                  <c:v>6250000</c:v>
                </c:pt>
              </c:numCache>
            </c:numRef>
          </c:val>
        </c:ser>
        <c:ser>
          <c:idx val="2"/>
          <c:order val="2"/>
          <c:tx>
            <c:strRef>
              <c:f>'GRAPHS &amp; CHARTS'!$E$40</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CHARTS'!$B$41:$B$46</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CHARTS'!$E$41:$E$46</c:f>
              <c:numCache>
                <c:formatCode>#,##0.00</c:formatCode>
                <c:ptCount val="6"/>
                <c:pt idx="0">
                  <c:v>2034166634.5799999</c:v>
                </c:pt>
                <c:pt idx="1">
                  <c:v>188104146.78</c:v>
                </c:pt>
                <c:pt idx="2">
                  <c:v>550000000</c:v>
                </c:pt>
                <c:pt idx="3">
                  <c:v>892696663.58000004</c:v>
                </c:pt>
                <c:pt idx="4" formatCode="_(* #,##0.00_);_(* \(#,##0.00\);_(* &quot;-&quot;??_);_(@_)">
                  <c:v>9627373.5899999999</c:v>
                </c:pt>
                <c:pt idx="5" formatCode="_(* #,##0.00_);_(* \(#,##0.00\);_(* &quot;-&quot;??_);_(@_)">
                  <c:v>4820727.3600000003</c:v>
                </c:pt>
              </c:numCache>
            </c:numRef>
          </c:val>
        </c:ser>
        <c:dLbls>
          <c:showLegendKey val="0"/>
          <c:showVal val="0"/>
          <c:showCatName val="0"/>
          <c:showSerName val="0"/>
          <c:showPercent val="0"/>
          <c:showBubbleSize val="0"/>
        </c:dLbls>
        <c:gapWidth val="150"/>
        <c:shape val="box"/>
        <c:axId val="352692432"/>
        <c:axId val="352693216"/>
        <c:axId val="0"/>
        <c:extLst>
          <c:ext xmlns:c15="http://schemas.microsoft.com/office/drawing/2012/chart" uri="{02D57815-91ED-43cb-92C2-25804820EDAC}">
            <c15:filteredBarSeries>
              <c15:ser>
                <c:idx val="0"/>
                <c:order val="0"/>
                <c:tx>
                  <c:strRef>
                    <c:extLst>
                      <c:ext uri="{02D57815-91ED-43cb-92C2-25804820EDAC}">
                        <c15:formulaRef>
                          <c15:sqref>'GRAPHS &amp; CHARTS'!$C$40</c15:sqref>
                        </c15:formulaRef>
                      </c:ext>
                    </c:extLst>
                    <c:strCache>
                      <c:ptCount val="1"/>
                      <c:pt idx="0">
                        <c:v>APPROVED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extLst>
                      <c:ext uri="{02D57815-91ED-43cb-92C2-25804820EDAC}">
                        <c15:formulaRef>
                          <c15:sqref>'GRAPHS &amp; CHARTS'!$B$41:$B$46</c15:sqref>
                        </c15:formulaRef>
                      </c:ext>
                    </c:extLst>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extLst>
                      <c:ext uri="{02D57815-91ED-43cb-92C2-25804820EDAC}">
                        <c15:formulaRef>
                          <c15:sqref>'GRAPHS &amp; CHARTS'!$C$41:$C$46</c15:sqref>
                        </c15:formulaRef>
                      </c:ext>
                    </c:extLst>
                    <c:numCache>
                      <c:formatCode>#,##0.00</c:formatCode>
                      <c:ptCount val="6"/>
                      <c:pt idx="0">
                        <c:v>5655173330</c:v>
                      </c:pt>
                      <c:pt idx="1">
                        <c:v>1000000000</c:v>
                      </c:pt>
                      <c:pt idx="2">
                        <c:v>2800000000</c:v>
                      </c:pt>
                      <c:pt idx="3">
                        <c:v>5251003070</c:v>
                      </c:pt>
                      <c:pt idx="4">
                        <c:v>3428272800</c:v>
                      </c:pt>
                      <c:pt idx="5">
                        <c:v>25000000</c:v>
                      </c:pt>
                    </c:numCache>
                  </c:numRef>
                </c:val>
              </c15:ser>
            </c15:filteredBarSeries>
          </c:ext>
        </c:extLst>
      </c:bar3DChart>
      <c:catAx>
        <c:axId val="352692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93216"/>
        <c:crosses val="autoZero"/>
        <c:auto val="1"/>
        <c:lblAlgn val="ctr"/>
        <c:lblOffset val="100"/>
        <c:noMultiLvlLbl val="0"/>
      </c:catAx>
      <c:valAx>
        <c:axId val="3526932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92432"/>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50000"/>
        </a:schemeClr>
      </a:solidFill>
      <a:round/>
    </a:ln>
    <a:effectLst/>
  </c:spPr>
  <c:txPr>
    <a:bodyPr/>
    <a:lstStyle/>
    <a:p>
      <a:pPr>
        <a:defRPr/>
      </a:pPr>
      <a:endParaRPr lang="cy-GB"/>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GRANTS/LOAN</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'GRAPHS &amp; CHARTS'!$D$19</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CHARTS'!$B$25</c:f>
              <c:strCache>
                <c:ptCount val="1"/>
                <c:pt idx="0">
                  <c:v>GRANTS/LOANS</c:v>
                </c:pt>
              </c:strCache>
            </c:strRef>
          </c:cat>
          <c:val>
            <c:numRef>
              <c:extLst>
                <c:ext xmlns:c15="http://schemas.microsoft.com/office/drawing/2012/chart" uri="{02D57815-91ED-43cb-92C2-25804820EDAC}">
                  <c15:fullRef>
                    <c15:sqref>'GRAPHS &amp; CHARTS'!$D$20:$D$25</c15:sqref>
                  </c15:fullRef>
                </c:ext>
              </c:extLst>
              <c:f>'GRAPHS &amp; CHARTS'!$D$25</c:f>
              <c:numCache>
                <c:formatCode>#,##0.00</c:formatCode>
                <c:ptCount val="1"/>
                <c:pt idx="0">
                  <c:v>32500000</c:v>
                </c:pt>
              </c:numCache>
            </c:numRef>
          </c:val>
        </c:ser>
        <c:ser>
          <c:idx val="2"/>
          <c:order val="2"/>
          <c:tx>
            <c:strRef>
              <c:f>'GRAPHS &amp; CHARTS'!$E$19</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CHARTS'!$B$20:$B$25</c15:sqref>
                  </c15:fullRef>
                </c:ext>
              </c:extLst>
              <c:f>'GRAPHS &amp; CHARTS'!$B$25</c:f>
              <c:strCache>
                <c:ptCount val="1"/>
                <c:pt idx="0">
                  <c:v>GRANTS/LOANS</c:v>
                </c:pt>
              </c:strCache>
            </c:strRef>
          </c:cat>
          <c:val>
            <c:numRef>
              <c:extLst>
                <c:ext xmlns:c15="http://schemas.microsoft.com/office/drawing/2012/chart" uri="{02D57815-91ED-43cb-92C2-25804820EDAC}">
                  <c15:fullRef>
                    <c15:sqref>'GRAPHS &amp; CHARTS'!$E$20:$E$25</c15:sqref>
                  </c15:fullRef>
                </c:ext>
              </c:extLst>
              <c:f>'GRAPHS &amp; CHARTS'!$E$25</c:f>
              <c:numCache>
                <c:formatCode>_(* #,##0.00_);_(* \(#,##0.00\);_(* "-"??_);_(@_)</c:formatCode>
                <c:ptCount val="1"/>
                <c:pt idx="0">
                  <c:v>18482800</c:v>
                </c:pt>
              </c:numCache>
            </c:numRef>
          </c:val>
        </c:ser>
        <c:dLbls>
          <c:showLegendKey val="0"/>
          <c:showVal val="1"/>
          <c:showCatName val="0"/>
          <c:showSerName val="0"/>
          <c:showPercent val="0"/>
          <c:showBubbleSize val="0"/>
        </c:dLbls>
        <c:gapWidth val="150"/>
        <c:shape val="box"/>
        <c:axId val="352695176"/>
        <c:axId val="352695568"/>
        <c:axId val="0"/>
        <c:extLst>
          <c:ext xmlns:c15="http://schemas.microsoft.com/office/drawing/2012/chart" uri="{02D57815-91ED-43cb-92C2-25804820EDAC}">
            <c15:filteredBarSeries>
              <c15:ser>
                <c:idx val="0"/>
                <c:order val="0"/>
                <c:tx>
                  <c:strRef>
                    <c:extLst>
                      <c:ext uri="{02D57815-91ED-43cb-92C2-25804820EDAC}">
                        <c15:formulaRef>
                          <c15:sqref>'GRAPHS &amp; CHARTS'!$C$19</c15:sqref>
                        </c15:formulaRef>
                      </c:ext>
                    </c:extLst>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'GRAPHS &amp; CHARTS'!$B$20:$B$25</c15:sqref>
                        </c15:fullRef>
                        <c15:formulaRef>
                          <c15:sqref>'GRAPHS &amp; CHARTS'!$B$25</c15:sqref>
                        </c15:formulaRef>
                      </c:ext>
                    </c:extLst>
                    <c:strCache>
                      <c:ptCount val="1"/>
                      <c:pt idx="0">
                        <c:v>GRANTS/LOANS</c:v>
                      </c:pt>
                    </c:strCache>
                  </c:strRef>
                </c:cat>
                <c:val>
                  <c:numRef>
                    <c:extLst>
                      <c:ext uri="{02D57815-91ED-43cb-92C2-25804820EDAC}">
                        <c15:fullRef>
                          <c15:sqref>'GRAPHS &amp; CHARTS'!$C$20:$C$25</c15:sqref>
                        </c15:fullRef>
                        <c15:formulaRef>
                          <c15:sqref>'GRAPHS &amp; CHARTS'!$C$25</c15:sqref>
                        </c15:formulaRef>
                      </c:ext>
                    </c:extLst>
                    <c:numCache>
                      <c:formatCode>_(* #,##0.00_);_(* \(#,##0.00\);_(* "-"??_);_(@_)</c:formatCode>
                      <c:ptCount val="1"/>
                      <c:pt idx="0">
                        <c:v>130000000</c:v>
                      </c:pt>
                    </c:numCache>
                  </c:numRef>
                </c:val>
              </c15:ser>
            </c15:filteredBarSeries>
          </c:ext>
        </c:extLst>
      </c:bar3DChart>
      <c:catAx>
        <c:axId val="3526951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95568"/>
        <c:crosses val="autoZero"/>
        <c:auto val="1"/>
        <c:lblAlgn val="ctr"/>
        <c:lblOffset val="100"/>
        <c:noMultiLvlLbl val="0"/>
      </c:catAx>
      <c:valAx>
        <c:axId val="352695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95176"/>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2">
        <a:lumMod val="60000"/>
        <a:lumOff val="40000"/>
      </a:schemeClr>
    </a:solidFill>
    <a:ln w="9525" cap="flat" cmpd="sng" algn="ctr">
      <a:solidFill>
        <a:schemeClr val="accent2">
          <a:lumMod val="75000"/>
        </a:schemeClr>
      </a:solidFill>
      <a:round/>
    </a:ln>
    <a:effectLst/>
  </c:spPr>
  <c:txPr>
    <a:bodyPr/>
    <a:lstStyle/>
    <a:p>
      <a:pPr>
        <a:defRPr/>
      </a:pPr>
      <a:endParaRPr lang="cy-GB"/>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SECTORAL RECURRENT EXPENDITURE</a:t>
            </a:r>
            <a:endParaRPr lang="cy-GB"/>
          </a:p>
        </c:rich>
      </c:tx>
      <c:layout>
        <c:manualLayout>
          <c:xMode val="edge"/>
          <c:yMode val="edge"/>
          <c:x val="0.20255555555555554"/>
          <c:y val="3.703698609726186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'SUMMARY SHEET'!$D$45</c:f>
              <c:strCache>
                <c:ptCount val="1"/>
                <c:pt idx="0">
                  <c:v>FIRST QUARTER ESTIMATES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SHEET'!$B$46:$B$62</c15:sqref>
                  </c15:fullRef>
                </c:ext>
              </c:extLst>
              <c:f>('SUMMARY SHEET'!$B$50,'SUMMARY SHEET'!$B$55,'SUMMARY SHEET'!$B$57,'SUMMARY SHEET'!$B$61:$B$62)</c:f>
              <c:strCache>
                <c:ptCount val="5"/>
                <c:pt idx="0">
                  <c:v>TOTAL ECONOMIC SECTOR</c:v>
                </c:pt>
                <c:pt idx="1">
                  <c:v>TOTAL SOCIAL SERVICES SECTOR</c:v>
                </c:pt>
                <c:pt idx="2">
                  <c:v>TOTAL LAW &amp; JUSTICE SECTOR</c:v>
                </c:pt>
                <c:pt idx="3">
                  <c:v>TOTAL ADMINISTRATION SECTOR</c:v>
                </c:pt>
                <c:pt idx="4">
                  <c:v>CONSOLIDATED REVENUE FUND CHARGES</c:v>
                </c:pt>
              </c:strCache>
            </c:strRef>
          </c:cat>
          <c:val>
            <c:numRef>
              <c:extLst>
                <c:ext xmlns:c15="http://schemas.microsoft.com/office/drawing/2012/chart" uri="{02D57815-91ED-43cb-92C2-25804820EDAC}">
                  <c15:fullRef>
                    <c15:sqref>'SUMMARY SHEET'!$D$46:$D$62</c15:sqref>
                  </c15:fullRef>
                </c:ext>
              </c:extLst>
              <c:f>('SUMMARY SHEET'!$D$50,'SUMMARY SHEET'!$D$55,'SUMMARY SHEET'!$D$57,'SUMMARY SHEET'!$D$61:$D$62)</c:f>
              <c:numCache>
                <c:formatCode>_(* #,##0.00_);_(* \(#,##0.00\);_(* "-"??_);_(@_)</c:formatCode>
                <c:ptCount val="5"/>
                <c:pt idx="0">
                  <c:v>3752724751.8874998</c:v>
                </c:pt>
                <c:pt idx="1">
                  <c:v>9181401268.2700005</c:v>
                </c:pt>
                <c:pt idx="2">
                  <c:v>667779204.85000002</c:v>
                </c:pt>
                <c:pt idx="3">
                  <c:v>2821272276.0300007</c:v>
                </c:pt>
                <c:pt idx="4">
                  <c:v>4539862300</c:v>
                </c:pt>
              </c:numCache>
            </c:numRef>
          </c:val>
        </c:ser>
        <c:ser>
          <c:idx val="2"/>
          <c:order val="2"/>
          <c:tx>
            <c:strRef>
              <c:f>'SUMMARY SHEET'!$E$45</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SHEET'!$B$46:$B$62</c15:sqref>
                  </c15:fullRef>
                </c:ext>
              </c:extLst>
              <c:f>('SUMMARY SHEET'!$B$50,'SUMMARY SHEET'!$B$55,'SUMMARY SHEET'!$B$57,'SUMMARY SHEET'!$B$61:$B$62)</c:f>
              <c:strCache>
                <c:ptCount val="5"/>
                <c:pt idx="0">
                  <c:v>TOTAL ECONOMIC SECTOR</c:v>
                </c:pt>
                <c:pt idx="1">
                  <c:v>TOTAL SOCIAL SERVICES SECTOR</c:v>
                </c:pt>
                <c:pt idx="2">
                  <c:v>TOTAL LAW &amp; JUSTICE SECTOR</c:v>
                </c:pt>
                <c:pt idx="3">
                  <c:v>TOTAL ADMINISTRATION SECTOR</c:v>
                </c:pt>
                <c:pt idx="4">
                  <c:v>CONSOLIDATED REVENUE FUND CHARGES</c:v>
                </c:pt>
              </c:strCache>
            </c:strRef>
          </c:cat>
          <c:val>
            <c:numRef>
              <c:extLst>
                <c:ext xmlns:c15="http://schemas.microsoft.com/office/drawing/2012/chart" uri="{02D57815-91ED-43cb-92C2-25804820EDAC}">
                  <c15:fullRef>
                    <c15:sqref>'SUMMARY SHEET'!$E$46:$E$62</c15:sqref>
                  </c15:fullRef>
                </c:ext>
              </c:extLst>
              <c:f>('SUMMARY SHEET'!$E$50,'SUMMARY SHEET'!$E$55,'SUMMARY SHEET'!$E$57,'SUMMARY SHEET'!$E$61:$E$62)</c:f>
              <c:numCache>
                <c:formatCode>_(* #,##0.00_);_(* \(#,##0.00\);_(* "-"??_);_(@_)</c:formatCode>
                <c:ptCount val="5"/>
                <c:pt idx="0">
                  <c:v>3611644455.9700003</c:v>
                </c:pt>
                <c:pt idx="1">
                  <c:v>8295482574.3999987</c:v>
                </c:pt>
                <c:pt idx="2">
                  <c:v>506917699.99000001</c:v>
                </c:pt>
                <c:pt idx="3">
                  <c:v>1443069191.8099995</c:v>
                </c:pt>
                <c:pt idx="4">
                  <c:v>3679415545.8900003</c:v>
                </c:pt>
              </c:numCache>
            </c:numRef>
          </c:val>
        </c:ser>
        <c:dLbls>
          <c:showLegendKey val="0"/>
          <c:showVal val="1"/>
          <c:showCatName val="0"/>
          <c:showSerName val="0"/>
          <c:showPercent val="0"/>
          <c:showBubbleSize val="0"/>
        </c:dLbls>
        <c:gapWidth val="150"/>
        <c:shape val="box"/>
        <c:axId val="352694392"/>
        <c:axId val="352609256"/>
        <c:axId val="0"/>
        <c:extLst>
          <c:ext xmlns:c15="http://schemas.microsoft.com/office/drawing/2012/chart" uri="{02D57815-91ED-43cb-92C2-25804820EDAC}">
            <c15:filteredBarSeries>
              <c15:ser>
                <c:idx val="0"/>
                <c:order val="0"/>
                <c:tx>
                  <c:strRef>
                    <c:extLst>
                      <c:ext uri="{02D57815-91ED-43cb-92C2-25804820EDAC}">
                        <c15:formulaRef>
                          <c15:sqref>'SUMMARY SHEET'!$C$45</c15:sqref>
                        </c15:formulaRef>
                      </c:ext>
                    </c:extLst>
                    <c:strCache>
                      <c:ptCount val="1"/>
                      <c:pt idx="0">
                        <c:v>APPROVED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'SUMMARY SHEET'!$B$46:$B$62</c15:sqref>
                        </c15:fullRef>
                        <c15:formulaRef>
                          <c15:sqref>('SUMMARY SHEET'!$B$50,'SUMMARY SHEET'!$B$55,'SUMMARY SHEET'!$B$57,'SUMMARY SHEET'!$B$61:$B$62)</c15:sqref>
                        </c15:formulaRef>
                      </c:ext>
                    </c:extLst>
                    <c:strCache>
                      <c:ptCount val="5"/>
                      <c:pt idx="0">
                        <c:v>TOTAL ECONOMIC SECTOR</c:v>
                      </c:pt>
                      <c:pt idx="1">
                        <c:v>TOTAL SOCIAL SERVICES SECTOR</c:v>
                      </c:pt>
                      <c:pt idx="2">
                        <c:v>TOTAL LAW &amp; JUSTICE SECTOR</c:v>
                      </c:pt>
                      <c:pt idx="3">
                        <c:v>TOTAL ADMINISTRATION SECTOR</c:v>
                      </c:pt>
                      <c:pt idx="4">
                        <c:v>CONSOLIDATED REVENUE FUND CHARGES</c:v>
                      </c:pt>
                    </c:strCache>
                  </c:strRef>
                </c:cat>
                <c:val>
                  <c:numRef>
                    <c:extLst>
                      <c:ext uri="{02D57815-91ED-43cb-92C2-25804820EDAC}">
                        <c15:fullRef>
                          <c15:sqref>'SUMMARY SHEET'!$C$46:$C$62</c15:sqref>
                        </c15:fullRef>
                        <c15:formulaRef>
                          <c15:sqref>('SUMMARY SHEET'!$C$50,'SUMMARY SHEET'!$C$55,'SUMMARY SHEET'!$C$57,'SUMMARY SHEET'!$C$61:$C$62)</c15:sqref>
                        </c15:formulaRef>
                      </c:ext>
                    </c:extLst>
                    <c:numCache>
                      <c:formatCode>_(* #,##0.00_);_(* \(#,##0.00\);_(* "-"??_);_(@_)</c:formatCode>
                      <c:ptCount val="5"/>
                      <c:pt idx="0">
                        <c:v>15010899007.549999</c:v>
                      </c:pt>
                      <c:pt idx="1">
                        <c:v>36725605073.080002</c:v>
                      </c:pt>
                      <c:pt idx="2">
                        <c:v>2671116819.4000001</c:v>
                      </c:pt>
                      <c:pt idx="3">
                        <c:v>11285089104.120003</c:v>
                      </c:pt>
                      <c:pt idx="4">
                        <c:v>18159449200</c:v>
                      </c:pt>
                    </c:numCache>
                  </c:numRef>
                </c:val>
              </c15:ser>
            </c15:filteredBarSeries>
          </c:ext>
        </c:extLst>
      </c:bar3DChart>
      <c:catAx>
        <c:axId val="3526943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09256"/>
        <c:crosses val="autoZero"/>
        <c:auto val="1"/>
        <c:lblAlgn val="ctr"/>
        <c:lblOffset val="100"/>
        <c:noMultiLvlLbl val="0"/>
      </c:catAx>
      <c:valAx>
        <c:axId val="35260925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94392"/>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cy-GB"/>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STATUTORY TRANSFERS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'GRAPHS &amp; CHARTS'!$D$50</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CHARTS'!$B$51:$B$54</c15:sqref>
                  </c15:fullRef>
                </c:ext>
              </c:extLst>
              <c:f>'GRAPHS &amp; CHARTS'!$B$52:$B$53</c:f>
              <c:strCache>
                <c:ptCount val="2"/>
                <c:pt idx="0">
                  <c:v>TRANSFER TO LOCAL GOVERNMENT JOINT ACCOUNT (10%)</c:v>
                </c:pt>
                <c:pt idx="1">
                  <c:v>TRANSFER TO OSOPADEC</c:v>
                </c:pt>
              </c:strCache>
            </c:strRef>
          </c:cat>
          <c:val>
            <c:numRef>
              <c:extLst>
                <c:ext xmlns:c15="http://schemas.microsoft.com/office/drawing/2012/chart" uri="{02D57815-91ED-43cb-92C2-25804820EDAC}">
                  <c15:fullRef>
                    <c15:sqref>'GRAPHS &amp; CHARTS'!$D$51:$D$54</c15:sqref>
                  </c15:fullRef>
                </c:ext>
              </c:extLst>
              <c:f>'GRAPHS &amp; CHARTS'!$D$52:$D$53</c:f>
              <c:numCache>
                <c:formatCode>#,##0.00</c:formatCode>
                <c:ptCount val="2"/>
                <c:pt idx="0">
                  <c:v>625000000</c:v>
                </c:pt>
                <c:pt idx="1">
                  <c:v>1767134358.8499999</c:v>
                </c:pt>
              </c:numCache>
            </c:numRef>
          </c:val>
        </c:ser>
        <c:ser>
          <c:idx val="2"/>
          <c:order val="2"/>
          <c:tx>
            <c:strRef>
              <c:f>'GRAPHS &amp; CHARTS'!$E$50</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'GRAPHS &amp; CHARTS'!$B$51:$B$54</c15:sqref>
                  </c15:fullRef>
                </c:ext>
              </c:extLst>
              <c:f>'GRAPHS &amp; CHARTS'!$B$52:$B$53</c:f>
              <c:strCache>
                <c:ptCount val="2"/>
                <c:pt idx="0">
                  <c:v>TRANSFER TO LOCAL GOVERNMENT JOINT ACCOUNT (10%)</c:v>
                </c:pt>
                <c:pt idx="1">
                  <c:v>TRANSFER TO OSOPADEC</c:v>
                </c:pt>
              </c:strCache>
            </c:strRef>
          </c:cat>
          <c:val>
            <c:numRef>
              <c:extLst>
                <c:ext xmlns:c15="http://schemas.microsoft.com/office/drawing/2012/chart" uri="{02D57815-91ED-43cb-92C2-25804820EDAC}">
                  <c15:fullRef>
                    <c15:sqref>'GRAPHS &amp; CHARTS'!$E$51:$E$54</c15:sqref>
                  </c15:fullRef>
                </c:ext>
              </c:extLst>
              <c:f>'GRAPHS &amp; CHARTS'!$E$52:$E$53</c:f>
              <c:numCache>
                <c:formatCode>#,##0.00</c:formatCode>
                <c:ptCount val="2"/>
                <c:pt idx="0">
                  <c:v>52963150</c:v>
                </c:pt>
                <c:pt idx="1">
                  <c:v>877018556.94000006</c:v>
                </c:pt>
              </c:numCache>
            </c:numRef>
          </c:val>
        </c:ser>
        <c:dLbls>
          <c:showLegendKey val="0"/>
          <c:showVal val="1"/>
          <c:showCatName val="0"/>
          <c:showSerName val="0"/>
          <c:showPercent val="0"/>
          <c:showBubbleSize val="0"/>
        </c:dLbls>
        <c:gapWidth val="150"/>
        <c:shape val="box"/>
        <c:axId val="352605728"/>
        <c:axId val="352606512"/>
        <c:axId val="0"/>
        <c:extLst>
          <c:ext xmlns:c15="http://schemas.microsoft.com/office/drawing/2012/chart" uri="{02D57815-91ED-43cb-92C2-25804820EDAC}">
            <c15:filteredBarSeries>
              <c15:ser>
                <c:idx val="0"/>
                <c:order val="0"/>
                <c:tx>
                  <c:strRef>
                    <c:extLst>
                      <c:ext uri="{02D57815-91ED-43cb-92C2-25804820EDAC}">
                        <c15:formulaRef>
                          <c15:sqref>'GRAPHS &amp; CHARTS'!$C$50</c15:sqref>
                        </c15:formulaRef>
                      </c:ext>
                    </c:extLst>
                    <c:strCache>
                      <c:ptCount val="1"/>
                      <c:pt idx="0">
                        <c:v>APPROVED BUDGET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'GRAPHS &amp; CHARTS'!$B$51:$B$54</c15:sqref>
                        </c15:fullRef>
                        <c15:formulaRef>
                          <c15:sqref>'GRAPHS &amp; CHARTS'!$B$52:$B$53</c15:sqref>
                        </c15:formulaRef>
                      </c:ext>
                    </c:extLst>
                    <c:strCache>
                      <c:ptCount val="2"/>
                      <c:pt idx="0">
                        <c:v>TRANSFER TO LOCAL GOVERNMENT JOINT ACCOUNT (10%)</c:v>
                      </c:pt>
                      <c:pt idx="1">
                        <c:v>TRANSFER TO OSOPADEC</c:v>
                      </c:pt>
                    </c:strCache>
                  </c:strRef>
                </c:cat>
                <c:val>
                  <c:numRef>
                    <c:extLst>
                      <c:ext uri="{02D57815-91ED-43cb-92C2-25804820EDAC}">
                        <c15:fullRef>
                          <c15:sqref>'GRAPHS &amp; CHARTS'!$C$51:$C$54</c15:sqref>
                        </c15:fullRef>
                        <c15:formulaRef>
                          <c15:sqref>'GRAPHS &amp; CHARTS'!$C$52:$C$53</c15:sqref>
                        </c15:formulaRef>
                      </c:ext>
                    </c:extLst>
                    <c:numCache>
                      <c:formatCode>#,##0.00</c:formatCode>
                      <c:ptCount val="2"/>
                      <c:pt idx="0">
                        <c:v>2500000000</c:v>
                      </c:pt>
                      <c:pt idx="1">
                        <c:v>7068537435.3999996</c:v>
                      </c:pt>
                    </c:numCache>
                  </c:numRef>
                </c:val>
              </c15:ser>
            </c15:filteredBarSeries>
          </c:ext>
        </c:extLst>
      </c:bar3DChart>
      <c:catAx>
        <c:axId val="3526057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06512"/>
        <c:crosses val="autoZero"/>
        <c:auto val="1"/>
        <c:lblAlgn val="ctr"/>
        <c:lblOffset val="100"/>
        <c:noMultiLvlLbl val="0"/>
      </c:catAx>
      <c:valAx>
        <c:axId val="35260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05728"/>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50000"/>
        </a:schemeClr>
      </a:solidFill>
      <a:round/>
    </a:ln>
    <a:effectLst/>
  </c:spPr>
  <c:txPr>
    <a:bodyPr/>
    <a:lstStyle/>
    <a:p>
      <a:pPr>
        <a:defRPr/>
      </a:pPr>
      <a:endParaRPr lang="cy-GB"/>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2019 First Quarter Revenue Categories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Sheet2!$C$27</c:f>
              <c:strCache>
                <c:ptCount val="1"/>
                <c:pt idx="0">
                  <c:v>1st Quarter Target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Sheet2!$B$28:$B$30</c:f>
              <c:strCache>
                <c:ptCount val="3"/>
                <c:pt idx="0">
                  <c:v>Revenue from Federation Account</c:v>
                </c:pt>
                <c:pt idx="1">
                  <c:v>Independent Revenue</c:v>
                </c:pt>
                <c:pt idx="2">
                  <c:v>Other Revenue Sources</c:v>
                </c:pt>
              </c:strCache>
            </c:strRef>
          </c:cat>
          <c:val>
            <c:numRef>
              <c:f>Sheet2!$C$28:$C$30</c:f>
              <c:numCache>
                <c:formatCode>General</c:formatCode>
                <c:ptCount val="3"/>
                <c:pt idx="0">
                  <c:v>23.824000000000002</c:v>
                </c:pt>
                <c:pt idx="1">
                  <c:v>6.2809999999999997</c:v>
                </c:pt>
                <c:pt idx="2">
                  <c:v>18.372</c:v>
                </c:pt>
              </c:numCache>
            </c:numRef>
          </c:val>
        </c:ser>
        <c:ser>
          <c:idx val="1"/>
          <c:order val="1"/>
          <c:tx>
            <c:strRef>
              <c:f>Sheet2!$D$27</c:f>
              <c:strCache>
                <c:ptCount val="1"/>
                <c:pt idx="0">
                  <c:v>1st Quarter Actual</c:v>
                </c:pt>
              </c:strCache>
            </c:strRef>
          </c:tx>
          <c:spPr>
            <a:solidFill>
              <a:schemeClr val="bg1">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Sheet2!$B$28:$B$30</c:f>
              <c:strCache>
                <c:ptCount val="3"/>
                <c:pt idx="0">
                  <c:v>Revenue from Federation Account</c:v>
                </c:pt>
                <c:pt idx="1">
                  <c:v>Independent Revenue</c:v>
                </c:pt>
                <c:pt idx="2">
                  <c:v>Other Revenue Sources</c:v>
                </c:pt>
              </c:strCache>
            </c:strRef>
          </c:cat>
          <c:val>
            <c:numRef>
              <c:f>Sheet2!$D$28:$D$30</c:f>
              <c:numCache>
                <c:formatCode>General</c:formatCode>
                <c:ptCount val="3"/>
                <c:pt idx="0">
                  <c:v>16.151</c:v>
                </c:pt>
                <c:pt idx="1">
                  <c:v>3.4359999999999999</c:v>
                </c:pt>
                <c:pt idx="2">
                  <c:v>4.1340000000000003</c:v>
                </c:pt>
              </c:numCache>
            </c:numRef>
          </c:val>
        </c:ser>
        <c:dLbls>
          <c:showLegendKey val="0"/>
          <c:showVal val="1"/>
          <c:showCatName val="0"/>
          <c:showSerName val="0"/>
          <c:showPercent val="0"/>
          <c:showBubbleSize val="0"/>
        </c:dLbls>
        <c:gapWidth val="150"/>
        <c:shape val="box"/>
        <c:axId val="235758680"/>
        <c:axId val="235747312"/>
        <c:axId val="0"/>
      </c:bar3DChart>
      <c:catAx>
        <c:axId val="235758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47312"/>
        <c:crosses val="autoZero"/>
        <c:auto val="1"/>
        <c:lblAlgn val="ctr"/>
        <c:lblOffset val="100"/>
        <c:noMultiLvlLbl val="0"/>
      </c:catAx>
      <c:valAx>
        <c:axId val="235747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58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4">
        <a:lumMod val="60000"/>
        <a:lumOff val="40000"/>
      </a:schemeClr>
    </a:solidFill>
    <a:ln w="9525" cap="flat" cmpd="sng" algn="ctr">
      <a:solidFill>
        <a:schemeClr val="tx1">
          <a:lumMod val="15000"/>
          <a:lumOff val="85000"/>
        </a:schemeClr>
      </a:solidFill>
      <a:round/>
    </a:ln>
    <a:effectLst/>
  </c:spPr>
  <c:txPr>
    <a:bodyPr/>
    <a:lstStyle/>
    <a:p>
      <a:pPr>
        <a:defRPr/>
      </a:pPr>
      <a:endParaRPr lang="cy-GB"/>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SECTORAL CAPITAL EXPENDITURE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'SUMMARY SHEET'!$D$23</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SHEET'!$B$24:$B$39</c15:sqref>
                  </c15:fullRef>
                </c:ext>
              </c:extLst>
              <c:f>('SUMMARY SHEET'!$B$28,'SUMMARY SHEET'!$B$33,'SUMMARY SHEET'!$B$35,'SUMMARY SHEET'!$B$39)</c:f>
              <c:strCache>
                <c:ptCount val="4"/>
                <c:pt idx="0">
                  <c:v>ECONOMIC SECTOR</c:v>
                </c:pt>
                <c:pt idx="1">
                  <c:v>SOCIAL SERVICES SECTOR</c:v>
                </c:pt>
                <c:pt idx="2">
                  <c:v>LAW &amp; JUSTICE SECTOR</c:v>
                </c:pt>
                <c:pt idx="3">
                  <c:v>ADMINISTRATION SECTOR</c:v>
                </c:pt>
              </c:strCache>
            </c:strRef>
          </c:cat>
          <c:val>
            <c:numRef>
              <c:extLst>
                <c:ext xmlns:c15="http://schemas.microsoft.com/office/drawing/2012/chart" uri="{02D57815-91ED-43cb-92C2-25804820EDAC}">
                  <c15:fullRef>
                    <c15:sqref>'SUMMARY SHEET'!$D$24:$D$39</c15:sqref>
                  </c15:fullRef>
                </c:ext>
              </c:extLst>
              <c:f>('SUMMARY SHEET'!$D$28,'SUMMARY SHEET'!$D$33,'SUMMARY SHEET'!$D$35,'SUMMARY SHEET'!$D$39)</c:f>
              <c:numCache>
                <c:formatCode>_(* #,##0.00_);_(* \(#,##0.00\);_(* "-"??_);_(@_)</c:formatCode>
                <c:ptCount val="4"/>
                <c:pt idx="0">
                  <c:v>13629348913.58</c:v>
                </c:pt>
                <c:pt idx="1">
                  <c:v>5026588014.6350002</c:v>
                </c:pt>
                <c:pt idx="2">
                  <c:v>293750000</c:v>
                </c:pt>
                <c:pt idx="3">
                  <c:v>3578540350</c:v>
                </c:pt>
              </c:numCache>
            </c:numRef>
          </c:val>
        </c:ser>
        <c:ser>
          <c:idx val="2"/>
          <c:order val="2"/>
          <c:tx>
            <c:strRef>
              <c:f>'SUMMARY SHEET'!$E$23</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SHEET'!$B$24:$B$39</c15:sqref>
                  </c15:fullRef>
                </c:ext>
              </c:extLst>
              <c:f>('SUMMARY SHEET'!$B$28,'SUMMARY SHEET'!$B$33,'SUMMARY SHEET'!$B$35,'SUMMARY SHEET'!$B$39)</c:f>
              <c:strCache>
                <c:ptCount val="4"/>
                <c:pt idx="0">
                  <c:v>ECONOMIC SECTOR</c:v>
                </c:pt>
                <c:pt idx="1">
                  <c:v>SOCIAL SERVICES SECTOR</c:v>
                </c:pt>
                <c:pt idx="2">
                  <c:v>LAW &amp; JUSTICE SECTOR</c:v>
                </c:pt>
                <c:pt idx="3">
                  <c:v>ADMINISTRATION SECTOR</c:v>
                </c:pt>
              </c:strCache>
            </c:strRef>
          </c:cat>
          <c:val>
            <c:numRef>
              <c:extLst>
                <c:ext xmlns:c15="http://schemas.microsoft.com/office/drawing/2012/chart" uri="{02D57815-91ED-43cb-92C2-25804820EDAC}">
                  <c15:fullRef>
                    <c15:sqref>'SUMMARY SHEET'!$E$24:$E$39</c15:sqref>
                  </c15:fullRef>
                </c:ext>
              </c:extLst>
              <c:f>('SUMMARY SHEET'!$E$28,'SUMMARY SHEET'!$E$33,'SUMMARY SHEET'!$E$35,'SUMMARY SHEET'!$E$39)</c:f>
              <c:numCache>
                <c:formatCode>_(* #,##0.00_);_(* \(#,##0.00\);_(* "-"??_);_(@_)</c:formatCode>
                <c:ptCount val="4"/>
                <c:pt idx="0">
                  <c:v>2896607336.8000002</c:v>
                </c:pt>
                <c:pt idx="1">
                  <c:v>72689915</c:v>
                </c:pt>
                <c:pt idx="2">
                  <c:v>31970000</c:v>
                </c:pt>
                <c:pt idx="3">
                  <c:v>318821423.96999997</c:v>
                </c:pt>
              </c:numCache>
            </c:numRef>
          </c:val>
        </c:ser>
        <c:dLbls>
          <c:showLegendKey val="0"/>
          <c:showVal val="1"/>
          <c:showCatName val="0"/>
          <c:showSerName val="0"/>
          <c:showPercent val="0"/>
          <c:showBubbleSize val="0"/>
        </c:dLbls>
        <c:gapWidth val="150"/>
        <c:shape val="box"/>
        <c:axId val="352607296"/>
        <c:axId val="352606904"/>
        <c:axId val="0"/>
        <c:extLst>
          <c:ext xmlns:c15="http://schemas.microsoft.com/office/drawing/2012/chart" uri="{02D57815-91ED-43cb-92C2-25804820EDAC}">
            <c15:filteredBarSeries>
              <c15:ser>
                <c:idx val="0"/>
                <c:order val="0"/>
                <c:tx>
                  <c:strRef>
                    <c:extLst>
                      <c:ext uri="{02D57815-91ED-43cb-92C2-25804820EDAC}">
                        <c15:formulaRef>
                          <c15:sqref>'SUMMARY SHEET'!$C$23</c15:sqref>
                        </c15:formulaRef>
                      </c:ext>
                    </c:extLst>
                    <c:strCache>
                      <c:ptCount val="1"/>
                      <c:pt idx="0">
                        <c:v>APPROVED BUDGET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'SUMMARY SHEET'!$B$24:$B$39</c15:sqref>
                        </c15:fullRef>
                        <c15:formulaRef>
                          <c15:sqref>('SUMMARY SHEET'!$B$28,'SUMMARY SHEET'!$B$33,'SUMMARY SHEET'!$B$35,'SUMMARY SHEET'!$B$39)</c15:sqref>
                        </c15:formulaRef>
                      </c:ext>
                    </c:extLst>
                    <c:strCache>
                      <c:ptCount val="4"/>
                      <c:pt idx="0">
                        <c:v>ECONOMIC SECTOR</c:v>
                      </c:pt>
                      <c:pt idx="1">
                        <c:v>SOCIAL SERVICES SECTOR</c:v>
                      </c:pt>
                      <c:pt idx="2">
                        <c:v>LAW &amp; JUSTICE SECTOR</c:v>
                      </c:pt>
                      <c:pt idx="3">
                        <c:v>ADMINISTRATION SECTOR</c:v>
                      </c:pt>
                    </c:strCache>
                  </c:strRef>
                </c:cat>
                <c:val>
                  <c:numRef>
                    <c:extLst>
                      <c:ext uri="{02D57815-91ED-43cb-92C2-25804820EDAC}">
                        <c15:fullRef>
                          <c15:sqref>'SUMMARY SHEET'!$C$24:$C$39</c15:sqref>
                        </c15:fullRef>
                        <c15:formulaRef>
                          <c15:sqref>('SUMMARY SHEET'!$C$28,'SUMMARY SHEET'!$C$33,'SUMMARY SHEET'!$C$35,'SUMMARY SHEET'!$C$39)</c15:sqref>
                        </c15:formulaRef>
                      </c:ext>
                    </c:extLst>
                    <c:numCache>
                      <c:formatCode>_(* #,##0.00_);_(* \(#,##0.00\);_(* "-"??_);_(@_)</c:formatCode>
                      <c:ptCount val="4"/>
                      <c:pt idx="0">
                        <c:v>54517395654.32</c:v>
                      </c:pt>
                      <c:pt idx="1">
                        <c:v>20106352058.540001</c:v>
                      </c:pt>
                      <c:pt idx="2">
                        <c:v>1175000000</c:v>
                      </c:pt>
                      <c:pt idx="3">
                        <c:v>14314161400</c:v>
                      </c:pt>
                    </c:numCache>
                  </c:numRef>
                </c:val>
              </c15:ser>
            </c15:filteredBarSeries>
          </c:ext>
        </c:extLst>
      </c:bar3DChart>
      <c:catAx>
        <c:axId val="3526072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06904"/>
        <c:crosses val="autoZero"/>
        <c:auto val="1"/>
        <c:lblAlgn val="ctr"/>
        <c:lblOffset val="100"/>
        <c:noMultiLvlLbl val="0"/>
      </c:catAx>
      <c:valAx>
        <c:axId val="35260690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35260729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2">
        <a:lumMod val="60000"/>
        <a:lumOff val="40000"/>
      </a:schemeClr>
    </a:solidFill>
    <a:ln w="9525" cap="flat" cmpd="sng" algn="ctr">
      <a:solidFill>
        <a:schemeClr val="accent2">
          <a:lumMod val="50000"/>
        </a:schemeClr>
      </a:solidFill>
      <a:round/>
    </a:ln>
    <a:effectLst/>
  </c:spPr>
  <c:txPr>
    <a:bodyPr/>
    <a:lstStyle/>
    <a:p>
      <a:pPr>
        <a:defRPr/>
      </a:pPr>
      <a:endParaRPr lang="cy-GB"/>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Share</a:t>
            </a:r>
            <a:r>
              <a:rPr lang="en-US" baseline="0"/>
              <a:t> of Revenue Categories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cy-GB"/>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cy-GB"/>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Sheet2!$B$35:$B$37</c:f>
              <c:strCache>
                <c:ptCount val="3"/>
                <c:pt idx="0">
                  <c:v>Revenue from Federation Account</c:v>
                </c:pt>
                <c:pt idx="1">
                  <c:v>Independent Revenue</c:v>
                </c:pt>
                <c:pt idx="2">
                  <c:v>Other Revenue Sources</c:v>
                </c:pt>
              </c:strCache>
            </c:strRef>
          </c:cat>
          <c:val>
            <c:numRef>
              <c:f>Sheet2!$C$35:$C$37</c:f>
              <c:numCache>
                <c:formatCode>General</c:formatCode>
                <c:ptCount val="3"/>
                <c:pt idx="0">
                  <c:v>16.151</c:v>
                </c:pt>
                <c:pt idx="1">
                  <c:v>3.4359999999999999</c:v>
                </c:pt>
                <c:pt idx="2">
                  <c:v>4.1340000000000003</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1">
        <a:lumMod val="40000"/>
        <a:lumOff val="60000"/>
      </a:schemeClr>
    </a:solidFill>
    <a:ln w="9525" cap="flat" cmpd="sng" algn="ctr">
      <a:solidFill>
        <a:schemeClr val="tx2">
          <a:lumMod val="15000"/>
          <a:lumOff val="85000"/>
        </a:schemeClr>
      </a:solidFill>
      <a:round/>
    </a:ln>
    <a:effectLst/>
  </c:spPr>
  <c:txPr>
    <a:bodyPr/>
    <a:lstStyle/>
    <a:p>
      <a:pPr>
        <a:defRPr/>
      </a:pPr>
      <a:endParaRPr lang="cy-GB"/>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Components of Revenue from Federation Account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Sheet3!$C$3</c:f>
              <c:strCache>
                <c:ptCount val="1"/>
                <c:pt idx="0">
                  <c:v>1st Quarter Target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Sheet3!$B$4:$B$12</c:f>
              <c:strCache>
                <c:ptCount val="9"/>
                <c:pt idx="0">
                  <c:v>Statutory Allocation</c:v>
                </c:pt>
                <c:pt idx="1">
                  <c:v>Share of Value Added Tax</c:v>
                </c:pt>
                <c:pt idx="2">
                  <c:v>Mineral Derivation Fund</c:v>
                </c:pt>
                <c:pt idx="3">
                  <c:v>Budget Support Facility Loan</c:v>
                </c:pt>
                <c:pt idx="4">
                  <c:v>Exchange Gain</c:v>
                </c:pt>
                <c:pt idx="5">
                  <c:v>Excess Petroleum Profit Tax</c:v>
                </c:pt>
                <c:pt idx="6">
                  <c:v>Refund on Federal Roads</c:v>
                </c:pt>
                <c:pt idx="7">
                  <c:v>Forex Stabilization Account </c:v>
                </c:pt>
                <c:pt idx="8">
                  <c:v>Withholding Tax Refund From FGN</c:v>
                </c:pt>
              </c:strCache>
            </c:strRef>
          </c:cat>
          <c:val>
            <c:numRef>
              <c:f>Sheet3!$C$4:$C$12</c:f>
              <c:numCache>
                <c:formatCode>_-* #,##0.000_-;\-* #,##0.000_-;_-* "-"??_-;_-@_-</c:formatCode>
                <c:ptCount val="9"/>
                <c:pt idx="0">
                  <c:v>11.887</c:v>
                </c:pt>
                <c:pt idx="1">
                  <c:v>3.254</c:v>
                </c:pt>
                <c:pt idx="2">
                  <c:v>4.4180000000000001</c:v>
                </c:pt>
                <c:pt idx="3">
                  <c:v>0</c:v>
                </c:pt>
                <c:pt idx="4">
                  <c:v>0.21</c:v>
                </c:pt>
                <c:pt idx="5">
                  <c:v>0</c:v>
                </c:pt>
                <c:pt idx="6">
                  <c:v>1.075</c:v>
                </c:pt>
                <c:pt idx="7">
                  <c:v>0.57899999999999996</c:v>
                </c:pt>
                <c:pt idx="8">
                  <c:v>2.4</c:v>
                </c:pt>
              </c:numCache>
            </c:numRef>
          </c:val>
        </c:ser>
        <c:ser>
          <c:idx val="1"/>
          <c:order val="1"/>
          <c:tx>
            <c:strRef>
              <c:f>Sheet3!$D$3</c:f>
              <c:strCache>
                <c:ptCount val="1"/>
                <c:pt idx="0">
                  <c:v>1st Quarter Actual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Sheet3!$B$4:$B$12</c:f>
              <c:strCache>
                <c:ptCount val="9"/>
                <c:pt idx="0">
                  <c:v>Statutory Allocation</c:v>
                </c:pt>
                <c:pt idx="1">
                  <c:v>Share of Value Added Tax</c:v>
                </c:pt>
                <c:pt idx="2">
                  <c:v>Mineral Derivation Fund</c:v>
                </c:pt>
                <c:pt idx="3">
                  <c:v>Budget Support Facility Loan</c:v>
                </c:pt>
                <c:pt idx="4">
                  <c:v>Exchange Gain</c:v>
                </c:pt>
                <c:pt idx="5">
                  <c:v>Excess Petroleum Profit Tax</c:v>
                </c:pt>
                <c:pt idx="6">
                  <c:v>Refund on Federal Roads</c:v>
                </c:pt>
                <c:pt idx="7">
                  <c:v>Forex Stabilization Account </c:v>
                </c:pt>
                <c:pt idx="8">
                  <c:v>Withholding Tax Refund From FGN</c:v>
                </c:pt>
              </c:strCache>
            </c:strRef>
          </c:cat>
          <c:val>
            <c:numRef>
              <c:f>Sheet3!$D$4:$D$12</c:f>
              <c:numCache>
                <c:formatCode>_-* #,##0.000_-;\-* #,##0.000_-;_-* "-"??_-;_-@_-</c:formatCode>
                <c:ptCount val="9"/>
                <c:pt idx="0">
                  <c:v>8.8279999999999994</c:v>
                </c:pt>
                <c:pt idx="1">
                  <c:v>3.2189999999999999</c:v>
                </c:pt>
                <c:pt idx="2">
                  <c:v>3.681</c:v>
                </c:pt>
                <c:pt idx="3">
                  <c:v>0</c:v>
                </c:pt>
                <c:pt idx="4">
                  <c:v>1.4E-2</c:v>
                </c:pt>
                <c:pt idx="5">
                  <c:v>0</c:v>
                </c:pt>
                <c:pt idx="6">
                  <c:v>0</c:v>
                </c:pt>
                <c:pt idx="7">
                  <c:v>0.40899999999999997</c:v>
                </c:pt>
                <c:pt idx="8">
                  <c:v>0</c:v>
                </c:pt>
              </c:numCache>
            </c:numRef>
          </c:val>
        </c:ser>
        <c:dLbls>
          <c:showLegendKey val="0"/>
          <c:showVal val="0"/>
          <c:showCatName val="0"/>
          <c:showSerName val="0"/>
          <c:showPercent val="0"/>
          <c:showBubbleSize val="0"/>
        </c:dLbls>
        <c:gapWidth val="150"/>
        <c:shape val="box"/>
        <c:axId val="207138328"/>
        <c:axId val="207137152"/>
        <c:axId val="0"/>
      </c:bar3DChart>
      <c:catAx>
        <c:axId val="2071383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137152"/>
        <c:crosses val="autoZero"/>
        <c:auto val="1"/>
        <c:lblAlgn val="ctr"/>
        <c:lblOffset val="100"/>
        <c:noMultiLvlLbl val="0"/>
      </c:catAx>
      <c:valAx>
        <c:axId val="207137152"/>
        <c:scaling>
          <c:orientation val="minMax"/>
          <c:max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138328"/>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cy-GB"/>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COMPONENTS</a:t>
            </a:r>
            <a:r>
              <a:rPr lang="en-US" b="1" baseline="0"/>
              <a:t> OF</a:t>
            </a:r>
            <a:r>
              <a:rPr lang="en-US" b="1"/>
              <a:t> INDEPENDENT REVENUE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Sheet3!$C$22</c:f>
              <c:strCache>
                <c:ptCount val="1"/>
                <c:pt idx="0">
                  <c:v>1st Quarter Target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Sheet3!$B$23:$B$25</c:f>
              <c:strCache>
                <c:ptCount val="3"/>
                <c:pt idx="0">
                  <c:v>BIR</c:v>
                </c:pt>
                <c:pt idx="1">
                  <c:v>MEDAs</c:v>
                </c:pt>
                <c:pt idx="2">
                  <c:v>Revenue Retaining Agencies (RRA)</c:v>
                </c:pt>
              </c:strCache>
            </c:strRef>
          </c:cat>
          <c:val>
            <c:numRef>
              <c:f>Sheet3!$C$23:$C$25</c:f>
              <c:numCache>
                <c:formatCode>General</c:formatCode>
                <c:ptCount val="3"/>
                <c:pt idx="0">
                  <c:v>3.8180000000000001</c:v>
                </c:pt>
                <c:pt idx="1">
                  <c:v>2.4630000000000001</c:v>
                </c:pt>
                <c:pt idx="2">
                  <c:v>0</c:v>
                </c:pt>
              </c:numCache>
            </c:numRef>
          </c:val>
        </c:ser>
        <c:ser>
          <c:idx val="1"/>
          <c:order val="1"/>
          <c:tx>
            <c:strRef>
              <c:f>Sheet3!$D$22</c:f>
              <c:strCache>
                <c:ptCount val="1"/>
                <c:pt idx="0">
                  <c:v>1st Quarter Actual</c:v>
                </c:pt>
              </c:strCache>
            </c:strRef>
          </c:tx>
          <c:spPr>
            <a:solidFill>
              <a:schemeClr val="bg2">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Sheet3!$B$23:$B$25</c:f>
              <c:strCache>
                <c:ptCount val="3"/>
                <c:pt idx="0">
                  <c:v>BIR</c:v>
                </c:pt>
                <c:pt idx="1">
                  <c:v>MEDAs</c:v>
                </c:pt>
                <c:pt idx="2">
                  <c:v>Revenue Retaining Agencies (RRA)</c:v>
                </c:pt>
              </c:strCache>
            </c:strRef>
          </c:cat>
          <c:val>
            <c:numRef>
              <c:f>Sheet3!$D$23:$D$25</c:f>
              <c:numCache>
                <c:formatCode>General</c:formatCode>
                <c:ptCount val="3"/>
                <c:pt idx="0">
                  <c:v>2.5830000000000002</c:v>
                </c:pt>
                <c:pt idx="1">
                  <c:v>0.85299999999999998</c:v>
                </c:pt>
                <c:pt idx="2">
                  <c:v>1.7629999999999999</c:v>
                </c:pt>
              </c:numCache>
            </c:numRef>
          </c:val>
        </c:ser>
        <c:dLbls>
          <c:showLegendKey val="0"/>
          <c:showVal val="1"/>
          <c:showCatName val="0"/>
          <c:showSerName val="0"/>
          <c:showPercent val="0"/>
          <c:showBubbleSize val="0"/>
        </c:dLbls>
        <c:gapWidth val="150"/>
        <c:shape val="box"/>
        <c:axId val="207139896"/>
        <c:axId val="207136760"/>
        <c:axId val="0"/>
      </c:bar3DChart>
      <c:catAx>
        <c:axId val="207139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136760"/>
        <c:crosses val="autoZero"/>
        <c:auto val="1"/>
        <c:lblAlgn val="ctr"/>
        <c:lblOffset val="100"/>
        <c:noMultiLvlLbl val="0"/>
      </c:catAx>
      <c:valAx>
        <c:axId val="207136760"/>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y-GB"/>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07139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4"/>
    </a:solidFill>
    <a:ln w="9525" cap="flat" cmpd="sng" algn="ctr">
      <a:solidFill>
        <a:schemeClr val="tx1">
          <a:lumMod val="15000"/>
          <a:lumOff val="85000"/>
        </a:schemeClr>
      </a:solidFill>
      <a:round/>
    </a:ln>
    <a:effectLst/>
  </c:spPr>
  <c:txPr>
    <a:bodyPr/>
    <a:lstStyle/>
    <a:p>
      <a:pPr>
        <a:defRPr/>
      </a:pPr>
      <a:endParaRPr lang="cy-GB"/>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COMPONENTS OF REVENUE FROM OTHER SOURCES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Sheet3!$C$31</c:f>
              <c:strCache>
                <c:ptCount val="1"/>
                <c:pt idx="0">
                  <c:v>1st Quarter Target </c:v>
                </c:pt>
              </c:strCache>
            </c:strRef>
          </c:tx>
          <c:spPr>
            <a:solidFill>
              <a:schemeClr val="accent1"/>
            </a:solidFill>
            <a:ln>
              <a:noFill/>
            </a:ln>
            <a:effectLst/>
            <a:sp3d/>
          </c:spPr>
          <c:invertIfNegative val="0"/>
          <c:cat>
            <c:strRef>
              <c:f>Sheet3!$B$32:$B$37</c:f>
              <c:strCache>
                <c:ptCount val="6"/>
                <c:pt idx="0">
                  <c:v>Rollover Fund (Fixed Deposit Recall)</c:v>
                </c:pt>
                <c:pt idx="1">
                  <c:v>Bond</c:v>
                </c:pt>
                <c:pt idx="2">
                  <c:v>Credit from Development Partners</c:v>
                </c:pt>
                <c:pt idx="3">
                  <c:v>Grants from donor agencies</c:v>
                </c:pt>
                <c:pt idx="4">
                  <c:v>Short Term Borrowings</c:v>
                </c:pt>
                <c:pt idx="5">
                  <c:v>Excess Bank Charges</c:v>
                </c:pt>
              </c:strCache>
            </c:strRef>
          </c:cat>
          <c:val>
            <c:numRef>
              <c:f>Sheet3!$C$32:$C$37</c:f>
              <c:numCache>
                <c:formatCode>0.000</c:formatCode>
                <c:ptCount val="6"/>
                <c:pt idx="0">
                  <c:v>2.137</c:v>
                </c:pt>
                <c:pt idx="1">
                  <c:v>7.5</c:v>
                </c:pt>
                <c:pt idx="2">
                  <c:v>4.0819999999999999</c:v>
                </c:pt>
                <c:pt idx="3">
                  <c:v>3.4129999999999998</c:v>
                </c:pt>
                <c:pt idx="4">
                  <c:v>1.24</c:v>
                </c:pt>
                <c:pt idx="5">
                  <c:v>0</c:v>
                </c:pt>
              </c:numCache>
            </c:numRef>
          </c:val>
        </c:ser>
        <c:ser>
          <c:idx val="1"/>
          <c:order val="1"/>
          <c:tx>
            <c:strRef>
              <c:f>Sheet3!$D$31</c:f>
              <c:strCache>
                <c:ptCount val="1"/>
                <c:pt idx="0">
                  <c:v>1st Quarter Actual</c:v>
                </c:pt>
              </c:strCache>
            </c:strRef>
          </c:tx>
          <c:spPr>
            <a:solidFill>
              <a:schemeClr val="bg1">
                <a:lumMod val="50000"/>
              </a:schemeClr>
            </a:solidFill>
            <a:ln>
              <a:noFill/>
            </a:ln>
            <a:effectLst/>
            <a:sp3d/>
          </c:spPr>
          <c:invertIfNegative val="0"/>
          <c:cat>
            <c:strRef>
              <c:f>Sheet3!$B$32:$B$37</c:f>
              <c:strCache>
                <c:ptCount val="6"/>
                <c:pt idx="0">
                  <c:v>Rollover Fund (Fixed Deposit Recall)</c:v>
                </c:pt>
                <c:pt idx="1">
                  <c:v>Bond</c:v>
                </c:pt>
                <c:pt idx="2">
                  <c:v>Credit from Development Partners</c:v>
                </c:pt>
                <c:pt idx="3">
                  <c:v>Grants from donor agencies</c:v>
                </c:pt>
                <c:pt idx="4">
                  <c:v>Short Term Borrowings</c:v>
                </c:pt>
                <c:pt idx="5">
                  <c:v>Excess Bank Charges</c:v>
                </c:pt>
              </c:strCache>
            </c:strRef>
          </c:cat>
          <c:val>
            <c:numRef>
              <c:f>Sheet3!$D$32:$D$37</c:f>
              <c:numCache>
                <c:formatCode>0.000</c:formatCode>
                <c:ptCount val="6"/>
                <c:pt idx="0">
                  <c:v>2.9</c:v>
                </c:pt>
                <c:pt idx="1">
                  <c:v>0</c:v>
                </c:pt>
                <c:pt idx="2">
                  <c:v>0.47799999999999998</c:v>
                </c:pt>
                <c:pt idx="3">
                  <c:v>3.0000000000000001E-3</c:v>
                </c:pt>
                <c:pt idx="4">
                  <c:v>0.7</c:v>
                </c:pt>
                <c:pt idx="5">
                  <c:v>5.2999999999999999E-2</c:v>
                </c:pt>
              </c:numCache>
            </c:numRef>
          </c:val>
        </c:ser>
        <c:dLbls>
          <c:showLegendKey val="0"/>
          <c:showVal val="0"/>
          <c:showCatName val="0"/>
          <c:showSerName val="0"/>
          <c:showPercent val="0"/>
          <c:showBubbleSize val="0"/>
        </c:dLbls>
        <c:gapWidth val="150"/>
        <c:shape val="box"/>
        <c:axId val="237425296"/>
        <c:axId val="237426080"/>
        <c:axId val="0"/>
      </c:bar3DChart>
      <c:catAx>
        <c:axId val="237425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7426080"/>
        <c:crosses val="autoZero"/>
        <c:auto val="1"/>
        <c:lblAlgn val="ctr"/>
        <c:lblOffset val="100"/>
        <c:noMultiLvlLbl val="0"/>
      </c:catAx>
      <c:valAx>
        <c:axId val="237426080"/>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y-GB"/>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742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cy-GB"/>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TOTAL EXPENDITURE PERFORMANCE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'SUMMARY SHEET'!$D$2</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SHEET'!$B$3:$B$19</c15:sqref>
                  </c15:fullRef>
                </c:ext>
              </c:extLst>
              <c:f>'SUMMARY SHEET'!$B$19</c:f>
              <c:strCache>
                <c:ptCount val="1"/>
                <c:pt idx="0">
                  <c:v>GRAND TOTAL (A+B+C+D)</c:v>
                </c:pt>
              </c:strCache>
            </c:strRef>
          </c:cat>
          <c:val>
            <c:numRef>
              <c:extLst>
                <c:ext xmlns:c15="http://schemas.microsoft.com/office/drawing/2012/chart" uri="{02D57815-91ED-43cb-92C2-25804820EDAC}">
                  <c15:fullRef>
                    <c15:sqref>'SUMMARY SHEET'!$D$3:$D$19</c15:sqref>
                  </c15:fullRef>
                </c:ext>
              </c:extLst>
              <c:f>'SUMMARY SHEET'!$D$19</c:f>
              <c:numCache>
                <c:formatCode>#,##0.00</c:formatCode>
                <c:ptCount val="1"/>
                <c:pt idx="0">
                  <c:v>48475724750</c:v>
                </c:pt>
              </c:numCache>
            </c:numRef>
          </c:val>
        </c:ser>
        <c:ser>
          <c:idx val="2"/>
          <c:order val="2"/>
          <c:tx>
            <c:strRef>
              <c:f>'SUMMARY SHEET'!$E$2</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SHEET'!$B$3:$B$19</c15:sqref>
                  </c15:fullRef>
                </c:ext>
              </c:extLst>
              <c:f>'SUMMARY SHEET'!$B$19</c:f>
              <c:strCache>
                <c:ptCount val="1"/>
                <c:pt idx="0">
                  <c:v>GRAND TOTAL (A+B+C+D)</c:v>
                </c:pt>
              </c:strCache>
            </c:strRef>
          </c:cat>
          <c:val>
            <c:numRef>
              <c:extLst>
                <c:ext xmlns:c15="http://schemas.microsoft.com/office/drawing/2012/chart" uri="{02D57815-91ED-43cb-92C2-25804820EDAC}">
                  <c15:fullRef>
                    <c15:sqref>'SUMMARY SHEET'!$E$3:$E$19</c15:sqref>
                  </c15:fullRef>
                </c:ext>
              </c:extLst>
              <c:f>'SUMMARY SHEET'!$E$19</c:f>
              <c:numCache>
                <c:formatCode>_(* #,##0.00_);_(* \(#,##0.00\);_(* "-"??_);_(@_)</c:formatCode>
                <c:ptCount val="1"/>
                <c:pt idx="0" formatCode="#,##0.00">
                  <c:v>23696293318.519997</c:v>
                </c:pt>
              </c:numCache>
            </c:numRef>
          </c:val>
        </c:ser>
        <c:dLbls>
          <c:showLegendKey val="0"/>
          <c:showVal val="1"/>
          <c:showCatName val="0"/>
          <c:showSerName val="0"/>
          <c:showPercent val="0"/>
          <c:showBubbleSize val="0"/>
        </c:dLbls>
        <c:gapWidth val="150"/>
        <c:shape val="box"/>
        <c:axId val="235764952"/>
        <c:axId val="235761816"/>
        <c:axId val="0"/>
        <c:extLst>
          <c:ext xmlns:c15="http://schemas.microsoft.com/office/drawing/2012/chart" uri="{02D57815-91ED-43cb-92C2-25804820EDAC}">
            <c15:filteredBarSeries>
              <c15:ser>
                <c:idx val="0"/>
                <c:order val="0"/>
                <c:tx>
                  <c:strRef>
                    <c:extLst>
                      <c:ext uri="{02D57815-91ED-43cb-92C2-25804820EDAC}">
                        <c15:formulaRef>
                          <c15:sqref>'SUMMARY SHEET'!$C$2</c15:sqref>
                        </c15:formulaRef>
                      </c:ext>
                    </c:extLst>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'SUMMARY SHEET'!$B$3:$B$19</c15:sqref>
                        </c15:fullRef>
                        <c15:formulaRef>
                          <c15:sqref>'SUMMARY SHEET'!$B$19</c15:sqref>
                        </c15:formulaRef>
                      </c:ext>
                    </c:extLst>
                    <c:strCache>
                      <c:ptCount val="1"/>
                      <c:pt idx="0">
                        <c:v>GRAND TOTAL (A+B+C+D)</c:v>
                      </c:pt>
                    </c:strCache>
                  </c:strRef>
                </c:cat>
                <c:val>
                  <c:numRef>
                    <c:extLst>
                      <c:ext uri="{02D57815-91ED-43cb-92C2-25804820EDAC}">
                        <c15:fullRef>
                          <c15:sqref>'SUMMARY SHEET'!$C$3:$C$19</c15:sqref>
                        </c15:fullRef>
                        <c15:formulaRef>
                          <c15:sqref>'SUMMARY SHEET'!$C$19</c15:sqref>
                        </c15:formulaRef>
                      </c:ext>
                    </c:extLst>
                    <c:numCache>
                      <c:formatCode>_(* #,##0.00_);_(* \(#,##0.00\);_(* "-"??_);_(@_)</c:formatCode>
                      <c:ptCount val="1"/>
                      <c:pt idx="0" formatCode="#,##0.00">
                        <c:v>193902899000</c:v>
                      </c:pt>
                    </c:numCache>
                  </c:numRef>
                </c:val>
              </c15:ser>
            </c15:filteredBarSeries>
          </c:ext>
        </c:extLst>
      </c:bar3DChart>
      <c:catAx>
        <c:axId val="235764952"/>
        <c:scaling>
          <c:orientation val="minMax"/>
        </c:scaling>
        <c:delete val="1"/>
        <c:axPos val="b"/>
        <c:numFmt formatCode="General" sourceLinked="1"/>
        <c:majorTickMark val="none"/>
        <c:minorTickMark val="none"/>
        <c:tickLblPos val="nextTo"/>
        <c:crossAx val="235761816"/>
        <c:crosses val="autoZero"/>
        <c:auto val="1"/>
        <c:lblAlgn val="ctr"/>
        <c:lblOffset val="100"/>
        <c:noMultiLvlLbl val="0"/>
      </c:catAx>
      <c:valAx>
        <c:axId val="235761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64952"/>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2">
        <a:lumMod val="60000"/>
        <a:lumOff val="40000"/>
      </a:schemeClr>
    </a:solidFill>
    <a:ln w="9525" cap="flat" cmpd="sng" algn="ctr">
      <a:solidFill>
        <a:schemeClr val="accent2">
          <a:lumMod val="75000"/>
        </a:schemeClr>
      </a:solidFill>
      <a:round/>
    </a:ln>
    <a:effectLst/>
  </c:spPr>
  <c:txPr>
    <a:bodyPr/>
    <a:lstStyle/>
    <a:p>
      <a:pPr>
        <a:defRPr/>
      </a:pPr>
      <a:endParaRPr lang="cy-GB"/>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FIRST</a:t>
            </a:r>
            <a:r>
              <a:rPr lang="cy-GB" baseline="0"/>
              <a:t> QUARTER PERFORMANCE OF EXPENDITURE CLASSIFICATIONS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cy-GB"/>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'SUMMARY SHEET'!$D$2</c:f>
              <c:strCache>
                <c:ptCount val="1"/>
                <c:pt idx="0">
                  <c:v>FIRST QUARTER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SHEET'!$B$3:$B$19</c15:sqref>
                  </c15:fullRef>
                </c:ext>
              </c:extLst>
              <c:f>('SUMMARY SHEET'!$B$9,'SUMMARY SHEET'!$B$11,'SUMMARY SHEET'!$B$15,'SUMMARY SHEET'!$B$18)</c:f>
              <c:strCache>
                <c:ptCount val="4"/>
                <c:pt idx="0">
                  <c:v>TOTAL RECURRENT EXPENDITURE</c:v>
                </c:pt>
                <c:pt idx="1">
                  <c:v>DEBT REPAYMENT (PRINCIPAL)</c:v>
                </c:pt>
                <c:pt idx="2">
                  <c:v>TOTAL STATUTORY TRANSFER</c:v>
                </c:pt>
                <c:pt idx="3">
                  <c:v>TOTAL CAPITAL EXPENDITURE</c:v>
                </c:pt>
              </c:strCache>
            </c:strRef>
          </c:cat>
          <c:val>
            <c:numRef>
              <c:extLst>
                <c:ext xmlns:c15="http://schemas.microsoft.com/office/drawing/2012/chart" uri="{02D57815-91ED-43cb-92C2-25804820EDAC}">
                  <c15:fullRef>
                    <c15:sqref>'SUMMARY SHEET'!$D$3:$D$19</c15:sqref>
                  </c15:fullRef>
                </c:ext>
              </c:extLst>
              <c:f>('SUMMARY SHEET'!$D$9,'SUMMARY SHEET'!$D$11,'SUMMARY SHEET'!$D$15,'SUMMARY SHEET'!$D$18)</c:f>
              <c:numCache>
                <c:formatCode>#,##0.00</c:formatCode>
                <c:ptCount val="4"/>
                <c:pt idx="0">
                  <c:v>20963039801.040001</c:v>
                </c:pt>
                <c:pt idx="1">
                  <c:v>2592323311.895</c:v>
                </c:pt>
                <c:pt idx="2">
                  <c:v>2392134358.8499999</c:v>
                </c:pt>
                <c:pt idx="3">
                  <c:v>22528227278.215</c:v>
                </c:pt>
              </c:numCache>
            </c:numRef>
          </c:val>
        </c:ser>
        <c:ser>
          <c:idx val="2"/>
          <c:order val="2"/>
          <c:tx>
            <c:strRef>
              <c:f>'SUMMARY SHEET'!$E$2</c:f>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'SUMMARY SHEET'!$B$3:$B$19</c15:sqref>
                  </c15:fullRef>
                </c:ext>
              </c:extLst>
              <c:f>('SUMMARY SHEET'!$B$9,'SUMMARY SHEET'!$B$11,'SUMMARY SHEET'!$B$15,'SUMMARY SHEET'!$B$18)</c:f>
              <c:strCache>
                <c:ptCount val="4"/>
                <c:pt idx="0">
                  <c:v>TOTAL RECURRENT EXPENDITURE</c:v>
                </c:pt>
                <c:pt idx="1">
                  <c:v>DEBT REPAYMENT (PRINCIPAL)</c:v>
                </c:pt>
                <c:pt idx="2">
                  <c:v>TOTAL STATUTORY TRANSFER</c:v>
                </c:pt>
                <c:pt idx="3">
                  <c:v>TOTAL CAPITAL EXPENDITURE</c:v>
                </c:pt>
              </c:strCache>
            </c:strRef>
          </c:cat>
          <c:val>
            <c:numRef>
              <c:extLst>
                <c:ext xmlns:c15="http://schemas.microsoft.com/office/drawing/2012/chart" uri="{02D57815-91ED-43cb-92C2-25804820EDAC}">
                  <c15:fullRef>
                    <c15:sqref>'SUMMARY SHEET'!$E$3:$E$19</c15:sqref>
                  </c15:fullRef>
                </c:ext>
              </c:extLst>
              <c:f>('SUMMARY SHEET'!$E$9,'SUMMARY SHEET'!$E$11,'SUMMARY SHEET'!$E$15,'SUMMARY SHEET'!$E$18)</c:f>
              <c:numCache>
                <c:formatCode>_(* #,##0.00_);_(* \(#,##0.00\);_(* "-"??_);_(@_)</c:formatCode>
                <c:ptCount val="4"/>
                <c:pt idx="0" formatCode="#,##0.00">
                  <c:v>17536529468.059998</c:v>
                </c:pt>
                <c:pt idx="1" formatCode="#,##0.00">
                  <c:v>1909693467.75</c:v>
                </c:pt>
                <c:pt idx="2" formatCode="#,##0.00">
                  <c:v>929981706.94000006</c:v>
                </c:pt>
                <c:pt idx="3" formatCode="#,##0.00">
                  <c:v>3320088675.77</c:v>
                </c:pt>
              </c:numCache>
            </c:numRef>
          </c:val>
        </c:ser>
        <c:dLbls>
          <c:showLegendKey val="0"/>
          <c:showVal val="1"/>
          <c:showCatName val="0"/>
          <c:showSerName val="0"/>
          <c:showPercent val="0"/>
          <c:showBubbleSize val="0"/>
        </c:dLbls>
        <c:gapWidth val="150"/>
        <c:shape val="box"/>
        <c:axId val="235761424"/>
        <c:axId val="235764560"/>
        <c:axId val="0"/>
        <c:extLst>
          <c:ext xmlns:c15="http://schemas.microsoft.com/office/drawing/2012/chart" uri="{02D57815-91ED-43cb-92C2-25804820EDAC}">
            <c15:filteredBarSeries>
              <c15:ser>
                <c:idx val="0"/>
                <c:order val="0"/>
                <c:tx>
                  <c:strRef>
                    <c:extLst>
                      <c:ext uri="{02D57815-91ED-43cb-92C2-25804820EDAC}">
                        <c15:formulaRef>
                          <c15:sqref>'SUMMARY SHEET'!$C$2</c15:sqref>
                        </c15:formulaRef>
                      </c:ext>
                    </c:extLst>
                    <c:strCache>
                      <c:ptCount val="1"/>
                      <c:pt idx="0">
                        <c:v>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y-GB"/>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'SUMMARY SHEET'!$B$3:$B$19</c15:sqref>
                        </c15:fullRef>
                        <c15:formulaRef>
                          <c15:sqref>('SUMMARY SHEET'!$B$9,'SUMMARY SHEET'!$B$11,'SUMMARY SHEET'!$B$15,'SUMMARY SHEET'!$B$18)</c15:sqref>
                        </c15:formulaRef>
                      </c:ext>
                    </c:extLst>
                    <c:strCache>
                      <c:ptCount val="4"/>
                      <c:pt idx="0">
                        <c:v>TOTAL RECURRENT EXPENDITURE</c:v>
                      </c:pt>
                      <c:pt idx="1">
                        <c:v>DEBT REPAYMENT (PRINCIPAL)</c:v>
                      </c:pt>
                      <c:pt idx="2">
                        <c:v>TOTAL STATUTORY TRANSFER</c:v>
                      </c:pt>
                      <c:pt idx="3">
                        <c:v>TOTAL CAPITAL EXPENDITURE</c:v>
                      </c:pt>
                    </c:strCache>
                  </c:strRef>
                </c:cat>
                <c:val>
                  <c:numRef>
                    <c:extLst>
                      <c:ext uri="{02D57815-91ED-43cb-92C2-25804820EDAC}">
                        <c15:fullRef>
                          <c15:sqref>'SUMMARY SHEET'!$C$3:$C$19</c15:sqref>
                        </c15:fullRef>
                        <c15:formulaRef>
                          <c15:sqref>('SUMMARY SHEET'!$C$9,'SUMMARY SHEET'!$C$11,'SUMMARY SHEET'!$C$15,'SUMMARY SHEET'!$C$18)</c15:sqref>
                        </c15:formulaRef>
                      </c:ext>
                    </c:extLst>
                    <c:numCache>
                      <c:formatCode>_(* #,##0.00_);_(* \(#,##0.00\);_(* "-"??_);_(@_)</c:formatCode>
                      <c:ptCount val="4"/>
                      <c:pt idx="0" formatCode="#,##0.00">
                        <c:v>83852159204.160004</c:v>
                      </c:pt>
                      <c:pt idx="1" formatCode="#,##0.00">
                        <c:v>10369293247.58</c:v>
                      </c:pt>
                      <c:pt idx="2" formatCode="#,##0.00">
                        <c:v>9568537435.3999996</c:v>
                      </c:pt>
                      <c:pt idx="3" formatCode="#,##0.00">
                        <c:v>90112909112.860001</c:v>
                      </c:pt>
                    </c:numCache>
                  </c:numRef>
                </c:val>
              </c15:ser>
            </c15:filteredBarSeries>
          </c:ext>
        </c:extLst>
      </c:bar3DChart>
      <c:catAx>
        <c:axId val="2357614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64560"/>
        <c:crosses val="autoZero"/>
        <c:auto val="1"/>
        <c:lblAlgn val="ctr"/>
        <c:lblOffset val="100"/>
        <c:noMultiLvlLbl val="0"/>
      </c:catAx>
      <c:valAx>
        <c:axId val="235764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crossAx val="235761424"/>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y-GB"/>
        </a:p>
      </c:txPr>
    </c:legend>
    <c:plotVisOnly val="1"/>
    <c:dispBlanksAs val="gap"/>
    <c:showDLblsOverMax val="0"/>
  </c:chart>
  <c:spPr>
    <a:solidFill>
      <a:schemeClr val="accent6">
        <a:lumMod val="60000"/>
        <a:lumOff val="40000"/>
      </a:schemeClr>
    </a:solidFill>
    <a:ln w="9525" cap="flat" cmpd="sng" algn="ctr">
      <a:solidFill>
        <a:schemeClr val="accent6">
          <a:lumMod val="75000"/>
        </a:schemeClr>
      </a:solidFill>
      <a:round/>
    </a:ln>
    <a:effectLst/>
  </c:spPr>
  <c:txPr>
    <a:bodyPr/>
    <a:lstStyle/>
    <a:p>
      <a:pPr>
        <a:defRPr/>
      </a:pPr>
      <a:endParaRPr lang="cy-GB"/>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a:t>
            </a:r>
            <a:r>
              <a:rPr lang="cy-GB" baseline="0"/>
              <a:t> OF FIRST QUARTER ACTUAL EXPENDITURE</a:t>
            </a:r>
            <a:endParaRPr lang="cy-GB"/>
          </a:p>
        </c:rich>
      </c:tx>
      <c:layout>
        <c:manualLayout>
          <c:xMode val="edge"/>
          <c:yMode val="edge"/>
          <c:x val="0.13662826629429942"/>
          <c:y val="5.3333333333333337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cy-GB"/>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1112188562636E-2"/>
          <c:y val="0.24737748957850855"/>
          <c:w val="0.81388888888888888"/>
          <c:h val="0.61502057231759288"/>
        </c:manualLayout>
      </c:layout>
      <c:pie3DChart>
        <c:varyColors val="1"/>
        <c:ser>
          <c:idx val="0"/>
          <c:order val="0"/>
          <c:explosion val="2"/>
          <c:dPt>
            <c:idx val="0"/>
            <c:bubble3D val="0"/>
            <c:explosion val="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2">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cy-GB"/>
                </a:p>
              </c:txPr>
              <c:dLblPos val="outEnd"/>
              <c:showLegendKey val="0"/>
              <c:showVal val="0"/>
              <c:showCatName val="1"/>
              <c:showSerName val="0"/>
              <c:showPercent val="1"/>
              <c:showBubbleSize val="0"/>
            </c:dLbl>
            <c:dLbl>
              <c:idx val="1"/>
              <c:layout>
                <c:manualLayout>
                  <c:x val="-5.5555555555555558E-3"/>
                  <c:y val="0.185185185185185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cy-GB"/>
                </a:p>
              </c:txPr>
              <c:dLblPos val="bestFit"/>
              <c:showLegendKey val="0"/>
              <c:showVal val="0"/>
              <c:showCatName val="1"/>
              <c:showSerName val="0"/>
              <c:showPercent val="1"/>
              <c:showBubbleSize val="0"/>
              <c:extLs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cy-GB"/>
                </a:p>
              </c:txPr>
              <c:dLblPos val="outEnd"/>
              <c:showLegendKey val="0"/>
              <c:showVal val="0"/>
              <c:showCatName val="1"/>
              <c:showSerName val="0"/>
              <c:showPercent val="1"/>
              <c:showBubbleSize val="0"/>
            </c:dLbl>
            <c:dLbl>
              <c:idx val="3"/>
              <c:layout>
                <c:manualLayout>
                  <c:x val="8.611111111111111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75000"/>
                        </a:schemeClr>
                      </a:solidFill>
                      <a:latin typeface="+mn-lt"/>
                      <a:ea typeface="+mn-ea"/>
                      <a:cs typeface="+mn-cs"/>
                    </a:defRPr>
                  </a:pPr>
                  <a:endParaRPr lang="cy-GB"/>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CHARTS'!$B$11:$B$14</c:f>
              <c:strCache>
                <c:ptCount val="4"/>
                <c:pt idx="0">
                  <c:v>TOTAL RECURRENT EXPENDITURE</c:v>
                </c:pt>
                <c:pt idx="1">
                  <c:v>DEBT REPAYMENT (PRINCIPAL)</c:v>
                </c:pt>
                <c:pt idx="2">
                  <c:v>TOTAL STATUTORY TRANSFER</c:v>
                </c:pt>
                <c:pt idx="3">
                  <c:v>TOTAL CAPITAL EXPENDITURE</c:v>
                </c:pt>
              </c:strCache>
            </c:strRef>
          </c:cat>
          <c:val>
            <c:numRef>
              <c:f>'GRAPHS &amp; CHARTS'!$C$11:$C$14</c:f>
              <c:numCache>
                <c:formatCode>_(* #,##0.00_);_(* \(#,##0.00\);_(* "-"??_);_(@_)</c:formatCode>
                <c:ptCount val="4"/>
                <c:pt idx="0">
                  <c:v>16987079468.059998</c:v>
                </c:pt>
                <c:pt idx="1">
                  <c:v>1909693467.75</c:v>
                </c:pt>
                <c:pt idx="2">
                  <c:v>929981706.94000006</c:v>
                </c:pt>
                <c:pt idx="3">
                  <c:v>3320088675.77</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2">
        <a:lumMod val="60000"/>
        <a:lumOff val="40000"/>
      </a:schemeClr>
    </a:solidFill>
    <a:ln w="9525" cap="flat" cmpd="sng" algn="ctr">
      <a:solidFill>
        <a:schemeClr val="accent2">
          <a:lumMod val="75000"/>
        </a:schemeClr>
      </a:solidFill>
      <a:round/>
    </a:ln>
    <a:effectLst/>
  </c:spPr>
  <c:txPr>
    <a:bodyPr/>
    <a:lstStyle/>
    <a:p>
      <a:pPr>
        <a:defRPr/>
      </a:pPr>
      <a:endParaRPr lang="cy-GB"/>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8">
  <a:schemeClr val="accent5"/>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Pages>
  <Words>11967</Words>
  <Characters>68216</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MEPB</dc:creator>
  <cp:keywords/>
  <dc:description/>
  <cp:lastModifiedBy>MEPB</cp:lastModifiedBy>
  <cp:revision>18</cp:revision>
  <cp:lastPrinted>2019-05-28T21:44:00Z</cp:lastPrinted>
  <dcterms:created xsi:type="dcterms:W3CDTF">2019-05-06T18:37:00Z</dcterms:created>
  <dcterms:modified xsi:type="dcterms:W3CDTF">2019-05-28T22:18:00Z</dcterms:modified>
</cp:coreProperties>
</file>